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9A802E" w14:textId="77777777" w:rsidR="00140EB0" w:rsidRPr="00140EB0" w:rsidRDefault="00140EB0" w:rsidP="00140EB0">
      <w:pPr>
        <w:pStyle w:val="1"/>
        <w:rPr>
          <w:rtl/>
        </w:rPr>
      </w:pPr>
      <w:bookmarkStart w:id="0" w:name="_Toc135228340"/>
      <w:bookmarkStart w:id="1" w:name="_Toc139293250"/>
      <w:bookmarkStart w:id="2" w:name="_Toc140089428"/>
      <w:r w:rsidRPr="00140EB0">
        <w:rPr>
          <w:rFonts w:hint="cs"/>
          <w:rtl/>
        </w:rPr>
        <w:t xml:space="preserve">הרבנית ד"ר שפרה </w:t>
      </w:r>
      <w:proofErr w:type="spellStart"/>
      <w:r w:rsidRPr="00140EB0">
        <w:rPr>
          <w:rFonts w:hint="cs"/>
          <w:rtl/>
        </w:rPr>
        <w:t>מישלוב</w:t>
      </w:r>
      <w:proofErr w:type="spellEnd"/>
    </w:p>
    <w:p w14:paraId="2C8D5A13" w14:textId="08337C8F" w:rsidR="00140EB0" w:rsidRPr="00AC58F9" w:rsidRDefault="00140EB0" w:rsidP="00140EB0">
      <w:pPr>
        <w:pStyle w:val="2"/>
        <w:rPr>
          <w:rtl/>
        </w:rPr>
      </w:pPr>
      <w:r w:rsidRPr="00AC58F9">
        <w:rPr>
          <w:rFonts w:hint="eastAsia"/>
          <w:rtl/>
        </w:rPr>
        <w:t>הבעלות</w:t>
      </w:r>
      <w:r w:rsidRPr="00AC58F9">
        <w:rPr>
          <w:rtl/>
        </w:rPr>
        <w:t xml:space="preserve"> </w:t>
      </w:r>
      <w:r w:rsidRPr="00AC58F9">
        <w:rPr>
          <w:rFonts w:hint="eastAsia"/>
          <w:rtl/>
        </w:rPr>
        <w:t>על</w:t>
      </w:r>
      <w:r w:rsidRPr="00AC58F9">
        <w:rPr>
          <w:rtl/>
        </w:rPr>
        <w:t xml:space="preserve"> </w:t>
      </w:r>
      <w:r w:rsidRPr="00AC58F9">
        <w:rPr>
          <w:rFonts w:hint="eastAsia"/>
          <w:rtl/>
        </w:rPr>
        <w:t>דירת</w:t>
      </w:r>
      <w:r w:rsidRPr="00AC58F9">
        <w:rPr>
          <w:rtl/>
        </w:rPr>
        <w:t xml:space="preserve"> </w:t>
      </w:r>
      <w:r w:rsidRPr="00AC58F9">
        <w:rPr>
          <w:rFonts w:hint="eastAsia"/>
          <w:rtl/>
        </w:rPr>
        <w:t>בן</w:t>
      </w:r>
      <w:r w:rsidRPr="00AC58F9">
        <w:rPr>
          <w:rtl/>
        </w:rPr>
        <w:t xml:space="preserve"> </w:t>
      </w:r>
      <w:r w:rsidRPr="00AC58F9">
        <w:rPr>
          <w:rFonts w:hint="eastAsia"/>
          <w:rtl/>
        </w:rPr>
        <w:t>זוג</w:t>
      </w:r>
      <w:r w:rsidRPr="00AC58F9">
        <w:rPr>
          <w:rtl/>
        </w:rPr>
        <w:t xml:space="preserve"> </w:t>
      </w:r>
      <w:r w:rsidRPr="00AC58F9">
        <w:rPr>
          <w:rFonts w:hint="eastAsia"/>
          <w:rtl/>
        </w:rPr>
        <w:t>נשוי</w:t>
      </w:r>
      <w:r w:rsidRPr="00AC58F9">
        <w:rPr>
          <w:rtl/>
        </w:rPr>
        <w:t xml:space="preserve"> </w:t>
      </w:r>
      <w:r w:rsidRPr="00AC58F9">
        <w:rPr>
          <w:rFonts w:hint="eastAsia"/>
          <w:rtl/>
        </w:rPr>
        <w:t>במסגרת</w:t>
      </w:r>
      <w:r w:rsidRPr="00AC58F9">
        <w:rPr>
          <w:rtl/>
        </w:rPr>
        <w:t xml:space="preserve"> </w:t>
      </w:r>
      <w:r w:rsidRPr="00AC58F9">
        <w:rPr>
          <w:rFonts w:hint="eastAsia"/>
          <w:rtl/>
        </w:rPr>
        <w:t>התדיינות</w:t>
      </w:r>
      <w:r w:rsidRPr="00AC58F9">
        <w:rPr>
          <w:rtl/>
        </w:rPr>
        <w:t xml:space="preserve"> </w:t>
      </w:r>
      <w:r w:rsidRPr="00AC58F9">
        <w:rPr>
          <w:rFonts w:hint="eastAsia"/>
          <w:rtl/>
        </w:rPr>
        <w:t>בפני</w:t>
      </w:r>
      <w:r w:rsidRPr="00AC58F9">
        <w:rPr>
          <w:rtl/>
        </w:rPr>
        <w:t xml:space="preserve"> </w:t>
      </w:r>
      <w:r w:rsidRPr="00AC58F9">
        <w:rPr>
          <w:rFonts w:hint="eastAsia"/>
          <w:rtl/>
        </w:rPr>
        <w:t>בית</w:t>
      </w:r>
      <w:r w:rsidRPr="00AC58F9">
        <w:rPr>
          <w:rtl/>
        </w:rPr>
        <w:t xml:space="preserve"> </w:t>
      </w:r>
      <w:r w:rsidRPr="00AC58F9">
        <w:rPr>
          <w:rFonts w:hint="eastAsia"/>
          <w:rtl/>
        </w:rPr>
        <w:t>דין</w:t>
      </w:r>
      <w:r w:rsidRPr="00AC58F9">
        <w:rPr>
          <w:rtl/>
        </w:rPr>
        <w:t xml:space="preserve"> </w:t>
      </w:r>
      <w:r w:rsidRPr="00AC58F9">
        <w:rPr>
          <w:rFonts w:hint="eastAsia"/>
          <w:rtl/>
        </w:rPr>
        <w:t>לממונות</w:t>
      </w:r>
      <w:bookmarkEnd w:id="0"/>
      <w:bookmarkEnd w:id="1"/>
      <w:bookmarkEnd w:id="2"/>
      <w:r w:rsidR="003545E3" w:rsidRPr="003545E3">
        <w:rPr>
          <w:rStyle w:val="ac"/>
          <w:vanish/>
          <w:rtl/>
        </w:rPr>
        <w:footnoteReference w:customMarkFollows="1" w:id="1"/>
        <w:t>*</w:t>
      </w:r>
    </w:p>
    <w:p w14:paraId="1F1F70E6" w14:textId="77777777" w:rsidR="00A75D34" w:rsidRDefault="00A75D34">
      <w:pPr>
        <w:pStyle w:val="ab"/>
        <w:rPr>
          <w:rtl/>
        </w:rPr>
      </w:pPr>
      <w:r>
        <w:rPr>
          <w:rtl/>
        </w:rPr>
        <w:t>ראשי פרקים</w:t>
      </w:r>
    </w:p>
    <w:p w14:paraId="6B1C830F" w14:textId="77777777" w:rsidR="00D169DE" w:rsidRDefault="00D169DE">
      <w:pPr>
        <w:pStyle w:val="TOC4"/>
        <w:tabs>
          <w:tab w:val="right" w:pos="7135"/>
        </w:tabs>
        <w:rPr>
          <w:noProof/>
          <w:rtl/>
        </w:rPr>
        <w:sectPr w:rsidR="00D169DE">
          <w:headerReference w:type="even" r:id="rId8"/>
          <w:headerReference w:type="default" r:id="rId9"/>
          <w:headerReference w:type="first" r:id="rId10"/>
          <w:footnotePr>
            <w:numRestart w:val="eachSect"/>
          </w:footnotePr>
          <w:pgSz w:w="11907" w:h="16840" w:code="9"/>
          <w:pgMar w:top="1531" w:right="2381" w:bottom="4706" w:left="2381" w:header="907" w:footer="720" w:gutter="0"/>
          <w:cols w:space="720"/>
          <w:titlePg/>
          <w:bidi/>
          <w:rtlGutter/>
        </w:sectPr>
      </w:pPr>
    </w:p>
    <w:p w14:paraId="48852CB8" w14:textId="73F2D592" w:rsidR="00D169DE" w:rsidRDefault="00D169DE" w:rsidP="00BD1644">
      <w:pPr>
        <w:pStyle w:val="TOC4"/>
        <w:tabs>
          <w:tab w:val="right" w:pos="7135"/>
        </w:tabs>
        <w:ind w:left="397"/>
        <w:rPr>
          <w:rFonts w:asciiTheme="minorHAnsi" w:eastAsiaTheme="minorEastAsia" w:hAnsiTheme="minorHAnsi" w:cstheme="minorBidi"/>
          <w:noProof/>
          <w:kern w:val="2"/>
          <w:sz w:val="22"/>
          <w:szCs w:val="22"/>
          <w:rtl/>
          <w14:ligatures w14:val="standardContextual"/>
        </w:rPr>
      </w:pPr>
      <w:r>
        <w:rPr>
          <w:noProof/>
          <w:rtl/>
        </w:rPr>
        <w:t>א. מבוא</w:t>
      </w:r>
    </w:p>
    <w:p w14:paraId="381176C5" w14:textId="77777777" w:rsidR="00D169DE" w:rsidRDefault="00D169DE" w:rsidP="00BD1644">
      <w:pPr>
        <w:pStyle w:val="TOC4"/>
        <w:tabs>
          <w:tab w:val="right" w:pos="7135"/>
        </w:tabs>
        <w:ind w:left="397"/>
        <w:rPr>
          <w:rFonts w:asciiTheme="minorHAnsi" w:eastAsiaTheme="minorEastAsia" w:hAnsiTheme="minorHAnsi" w:cstheme="minorBidi"/>
          <w:noProof/>
          <w:kern w:val="2"/>
          <w:sz w:val="22"/>
          <w:szCs w:val="22"/>
          <w:rtl/>
          <w14:ligatures w14:val="standardContextual"/>
        </w:rPr>
      </w:pPr>
      <w:r>
        <w:rPr>
          <w:noProof/>
          <w:rtl/>
        </w:rPr>
        <w:t>ב. עמדת החוק והנוהג</w:t>
      </w:r>
    </w:p>
    <w:p w14:paraId="11063AF0" w14:textId="77777777" w:rsidR="00D169DE" w:rsidRDefault="00D169DE" w:rsidP="00BD1644">
      <w:pPr>
        <w:pStyle w:val="TOC4"/>
        <w:tabs>
          <w:tab w:val="right" w:pos="7135"/>
        </w:tabs>
        <w:ind w:left="397"/>
        <w:rPr>
          <w:rFonts w:asciiTheme="minorHAnsi" w:eastAsiaTheme="minorEastAsia" w:hAnsiTheme="minorHAnsi" w:cstheme="minorBidi"/>
          <w:noProof/>
          <w:kern w:val="2"/>
          <w:sz w:val="22"/>
          <w:szCs w:val="22"/>
          <w:rtl/>
          <w14:ligatures w14:val="standardContextual"/>
        </w:rPr>
      </w:pPr>
      <w:r>
        <w:rPr>
          <w:noProof/>
          <w:rtl/>
        </w:rPr>
        <w:t>ג. הסדרי הממון בין בני זוג על פי ההלכה</w:t>
      </w:r>
    </w:p>
    <w:p w14:paraId="370FB4B9" w14:textId="77777777" w:rsidR="00D169DE" w:rsidRDefault="00D169DE" w:rsidP="00BD1644">
      <w:pPr>
        <w:pStyle w:val="TOC4"/>
        <w:tabs>
          <w:tab w:val="right" w:pos="7135"/>
        </w:tabs>
        <w:ind w:left="397"/>
        <w:rPr>
          <w:rFonts w:asciiTheme="minorHAnsi" w:eastAsiaTheme="minorEastAsia" w:hAnsiTheme="minorHAnsi" w:cstheme="minorBidi"/>
          <w:noProof/>
          <w:kern w:val="2"/>
          <w:sz w:val="22"/>
          <w:szCs w:val="22"/>
          <w:rtl/>
          <w14:ligatures w14:val="standardContextual"/>
        </w:rPr>
      </w:pPr>
      <w:r>
        <w:rPr>
          <w:noProof/>
          <w:rtl/>
        </w:rPr>
        <w:t>ד. הזכות על נכסים שנקנו משכר עבודה</w:t>
      </w:r>
    </w:p>
    <w:p w14:paraId="7094E523" w14:textId="77777777" w:rsidR="00D169DE" w:rsidRDefault="00D169DE" w:rsidP="00BD1644">
      <w:pPr>
        <w:pStyle w:val="TOC5"/>
        <w:tabs>
          <w:tab w:val="right" w:pos="7135"/>
        </w:tabs>
        <w:ind w:left="397"/>
        <w:rPr>
          <w:rFonts w:asciiTheme="minorHAnsi" w:eastAsiaTheme="minorEastAsia" w:hAnsiTheme="minorHAnsi" w:cstheme="minorBidi"/>
          <w:noProof/>
          <w:kern w:val="2"/>
          <w:sz w:val="22"/>
          <w:szCs w:val="22"/>
          <w:rtl/>
          <w14:ligatures w14:val="standardContextual"/>
        </w:rPr>
      </w:pPr>
      <w:r>
        <w:rPr>
          <w:noProof/>
          <w:rtl/>
        </w:rPr>
        <w:t>1. נכסים הרשומים על שם הבעל והאישה</w:t>
      </w:r>
    </w:p>
    <w:p w14:paraId="1B2757F1" w14:textId="77777777" w:rsidR="00D169DE" w:rsidRDefault="00D169DE" w:rsidP="00BD1644">
      <w:pPr>
        <w:pStyle w:val="TOC5"/>
        <w:tabs>
          <w:tab w:val="right" w:pos="7135"/>
        </w:tabs>
        <w:ind w:left="397"/>
        <w:rPr>
          <w:rFonts w:asciiTheme="minorHAnsi" w:eastAsiaTheme="minorEastAsia" w:hAnsiTheme="minorHAnsi" w:cstheme="minorBidi"/>
          <w:noProof/>
          <w:kern w:val="2"/>
          <w:sz w:val="22"/>
          <w:szCs w:val="22"/>
          <w:rtl/>
          <w14:ligatures w14:val="standardContextual"/>
        </w:rPr>
      </w:pPr>
      <w:r>
        <w:rPr>
          <w:noProof/>
          <w:rtl/>
        </w:rPr>
        <w:t>2. נכסים שנרשמו על שם אחד מבני הזוג</w:t>
      </w:r>
    </w:p>
    <w:p w14:paraId="4F658580" w14:textId="6D8FF07E" w:rsidR="00D169DE" w:rsidRDefault="00D169DE" w:rsidP="00BD1644">
      <w:pPr>
        <w:pStyle w:val="TOC5"/>
        <w:tabs>
          <w:tab w:val="right" w:pos="7135"/>
        </w:tabs>
        <w:ind w:left="397"/>
        <w:rPr>
          <w:rFonts w:asciiTheme="minorHAnsi" w:eastAsiaTheme="minorEastAsia" w:hAnsiTheme="minorHAnsi" w:cstheme="minorBidi"/>
          <w:noProof/>
          <w:kern w:val="2"/>
          <w:sz w:val="22"/>
          <w:szCs w:val="22"/>
          <w:rtl/>
          <w14:ligatures w14:val="standardContextual"/>
        </w:rPr>
      </w:pPr>
      <w:r>
        <w:rPr>
          <w:noProof/>
          <w:rtl/>
        </w:rPr>
        <w:t>3. נכסים שנקנו מכספי שכר עבודת האישה</w:t>
      </w:r>
    </w:p>
    <w:p w14:paraId="04BF6E3F" w14:textId="6A6A11FA" w:rsidR="00D169DE" w:rsidRDefault="00BD1644" w:rsidP="00BD1644">
      <w:pPr>
        <w:pStyle w:val="TOC4"/>
        <w:tabs>
          <w:tab w:val="right" w:pos="7135"/>
        </w:tabs>
        <w:ind w:left="397"/>
        <w:rPr>
          <w:rFonts w:asciiTheme="minorHAnsi" w:eastAsiaTheme="minorEastAsia" w:hAnsiTheme="minorHAnsi" w:cstheme="minorBidi"/>
          <w:noProof/>
          <w:kern w:val="2"/>
          <w:sz w:val="22"/>
          <w:szCs w:val="22"/>
          <w:rtl/>
          <w14:ligatures w14:val="standardContextual"/>
        </w:rPr>
      </w:pPr>
      <w:r>
        <w:rPr>
          <w:noProof/>
          <w:rtl/>
        </w:rPr>
        <w:br w:type="column"/>
      </w:r>
      <w:r w:rsidR="00D169DE">
        <w:rPr>
          <w:noProof/>
          <w:rtl/>
        </w:rPr>
        <w:t xml:space="preserve">ה. דירה שהייתה בבעלות האישה לפני הנישואין </w:t>
      </w:r>
      <w:r w:rsidRPr="00BD1644">
        <w:rPr>
          <w:rFonts w:hint="cs"/>
          <w:noProof/>
          <w:color w:val="FFFFFF" w:themeColor="background1"/>
          <w:rtl/>
        </w:rPr>
        <w:t>חח</w:t>
      </w:r>
      <w:r w:rsidR="00D169DE">
        <w:rPr>
          <w:noProof/>
          <w:rtl/>
        </w:rPr>
        <w:t>או ניתנה לה במהלכם</w:t>
      </w:r>
    </w:p>
    <w:p w14:paraId="3EF52C32" w14:textId="77777777" w:rsidR="00D169DE" w:rsidRDefault="00D169DE" w:rsidP="00BD1644">
      <w:pPr>
        <w:pStyle w:val="TOC5"/>
        <w:tabs>
          <w:tab w:val="right" w:pos="7135"/>
        </w:tabs>
        <w:ind w:left="397"/>
        <w:rPr>
          <w:rFonts w:asciiTheme="minorHAnsi" w:eastAsiaTheme="minorEastAsia" w:hAnsiTheme="minorHAnsi" w:cstheme="minorBidi"/>
          <w:noProof/>
          <w:kern w:val="2"/>
          <w:sz w:val="22"/>
          <w:szCs w:val="22"/>
          <w:rtl/>
          <w14:ligatures w14:val="standardContextual"/>
        </w:rPr>
      </w:pPr>
      <w:r>
        <w:rPr>
          <w:noProof/>
          <w:rtl/>
        </w:rPr>
        <w:t>1. תקנת פרקונה תחת פירות</w:t>
      </w:r>
    </w:p>
    <w:p w14:paraId="5EAD54AD" w14:textId="77777777" w:rsidR="00D169DE" w:rsidRDefault="00D169DE" w:rsidP="00BD1644">
      <w:pPr>
        <w:pStyle w:val="TOC5"/>
        <w:tabs>
          <w:tab w:val="right" w:pos="7135"/>
        </w:tabs>
        <w:ind w:left="397"/>
        <w:rPr>
          <w:rFonts w:asciiTheme="minorHAnsi" w:eastAsiaTheme="minorEastAsia" w:hAnsiTheme="minorHAnsi" w:cstheme="minorBidi"/>
          <w:noProof/>
          <w:kern w:val="2"/>
          <w:sz w:val="22"/>
          <w:szCs w:val="22"/>
          <w:rtl/>
          <w14:ligatures w14:val="standardContextual"/>
        </w:rPr>
      </w:pPr>
      <w:r>
        <w:rPr>
          <w:noProof/>
          <w:rtl/>
        </w:rPr>
        <w:t>2. תקנת אושא</w:t>
      </w:r>
    </w:p>
    <w:p w14:paraId="3A965ADF" w14:textId="77777777" w:rsidR="00D169DE" w:rsidRDefault="00D169DE" w:rsidP="00BD1644">
      <w:pPr>
        <w:pStyle w:val="TOC5"/>
        <w:tabs>
          <w:tab w:val="right" w:pos="7135"/>
        </w:tabs>
        <w:ind w:left="397"/>
        <w:rPr>
          <w:rFonts w:asciiTheme="minorHAnsi" w:eastAsiaTheme="minorEastAsia" w:hAnsiTheme="minorHAnsi" w:cstheme="minorBidi"/>
          <w:noProof/>
          <w:kern w:val="2"/>
          <w:sz w:val="22"/>
          <w:szCs w:val="22"/>
          <w:rtl/>
          <w14:ligatures w14:val="standardContextual"/>
        </w:rPr>
      </w:pPr>
      <w:r>
        <w:rPr>
          <w:noProof/>
          <w:rtl/>
        </w:rPr>
        <w:t>3. ויתור על הזכות בפירות ועל תקנת אושא</w:t>
      </w:r>
    </w:p>
    <w:p w14:paraId="3528F7AD" w14:textId="77777777" w:rsidR="00D169DE" w:rsidRDefault="00D169DE" w:rsidP="00BD1644">
      <w:pPr>
        <w:pStyle w:val="TOC5"/>
        <w:tabs>
          <w:tab w:val="right" w:pos="7135"/>
        </w:tabs>
        <w:ind w:left="397"/>
        <w:rPr>
          <w:rFonts w:asciiTheme="minorHAnsi" w:eastAsiaTheme="minorEastAsia" w:hAnsiTheme="minorHAnsi" w:cstheme="minorBidi"/>
          <w:noProof/>
          <w:kern w:val="2"/>
          <w:sz w:val="22"/>
          <w:szCs w:val="22"/>
          <w:rtl/>
          <w14:ligatures w14:val="standardContextual"/>
        </w:rPr>
      </w:pPr>
      <w:r>
        <w:rPr>
          <w:noProof/>
          <w:rtl/>
        </w:rPr>
        <w:t>4. אופני ויתור על הזכות לפירות</w:t>
      </w:r>
    </w:p>
    <w:p w14:paraId="7FB27971" w14:textId="77777777" w:rsidR="00D169DE" w:rsidRDefault="00D169DE" w:rsidP="00BD1644">
      <w:pPr>
        <w:pStyle w:val="TOC5"/>
        <w:tabs>
          <w:tab w:val="right" w:pos="7135"/>
        </w:tabs>
        <w:ind w:left="397"/>
        <w:rPr>
          <w:rFonts w:asciiTheme="minorHAnsi" w:eastAsiaTheme="minorEastAsia" w:hAnsiTheme="minorHAnsi" w:cstheme="minorBidi"/>
          <w:noProof/>
          <w:kern w:val="2"/>
          <w:sz w:val="22"/>
          <w:szCs w:val="22"/>
          <w:rtl/>
          <w14:ligatures w14:val="standardContextual"/>
        </w:rPr>
      </w:pPr>
      <w:r>
        <w:rPr>
          <w:noProof/>
          <w:rtl/>
        </w:rPr>
        <w:t>5. מחילה של זכות הבעל לנכסי מלוג ופירות</w:t>
      </w:r>
    </w:p>
    <w:p w14:paraId="7CE9DCD5" w14:textId="77777777" w:rsidR="00D169DE" w:rsidRDefault="00D169DE" w:rsidP="00BD1644">
      <w:pPr>
        <w:pStyle w:val="TOC4"/>
        <w:tabs>
          <w:tab w:val="right" w:pos="7135"/>
        </w:tabs>
        <w:ind w:left="397"/>
        <w:rPr>
          <w:rFonts w:asciiTheme="minorHAnsi" w:eastAsiaTheme="minorEastAsia" w:hAnsiTheme="minorHAnsi" w:cstheme="minorBidi"/>
          <w:noProof/>
          <w:kern w:val="2"/>
          <w:sz w:val="22"/>
          <w:szCs w:val="22"/>
          <w:rtl/>
          <w14:ligatures w14:val="standardContextual"/>
        </w:rPr>
      </w:pPr>
      <w:r>
        <w:rPr>
          <w:noProof/>
          <w:rtl/>
        </w:rPr>
        <w:t>ו. זכאות משותפת לדמי השכירות מכוח מתנה</w:t>
      </w:r>
    </w:p>
    <w:p w14:paraId="32C9D017" w14:textId="77777777" w:rsidR="00D169DE" w:rsidRDefault="00D169DE" w:rsidP="00BD1644">
      <w:pPr>
        <w:pStyle w:val="TOC4"/>
        <w:tabs>
          <w:tab w:val="right" w:pos="7135"/>
        </w:tabs>
        <w:spacing w:after="120"/>
        <w:ind w:left="397"/>
        <w:rPr>
          <w:rFonts w:asciiTheme="minorHAnsi" w:eastAsiaTheme="minorEastAsia" w:hAnsiTheme="minorHAnsi" w:cstheme="minorBidi"/>
          <w:noProof/>
          <w:kern w:val="2"/>
          <w:sz w:val="22"/>
          <w:szCs w:val="22"/>
          <w:rtl/>
          <w14:ligatures w14:val="standardContextual"/>
        </w:rPr>
      </w:pPr>
      <w:r>
        <w:rPr>
          <w:noProof/>
          <w:rtl/>
        </w:rPr>
        <w:t>ז.  סיכום</w:t>
      </w:r>
    </w:p>
    <w:p w14:paraId="3FDCBA07" w14:textId="77777777" w:rsidR="00D169DE" w:rsidRDefault="00D169DE" w:rsidP="00990163">
      <w:pPr>
        <w:pStyle w:val="ab"/>
        <w:rPr>
          <w:rStyle w:val="af2"/>
          <w:rFonts w:cs="Miriam"/>
          <w:color w:val="auto"/>
          <w:sz w:val="24"/>
          <w:szCs w:val="40"/>
        </w:rPr>
        <w:sectPr w:rsidR="00D169DE" w:rsidSect="00BD1644">
          <w:footnotePr>
            <w:numRestart w:val="eachSect"/>
          </w:footnotePr>
          <w:type w:val="continuous"/>
          <w:pgSz w:w="11907" w:h="16840" w:code="9"/>
          <w:pgMar w:top="1531" w:right="2381" w:bottom="4706" w:left="2381" w:header="907" w:footer="720" w:gutter="0"/>
          <w:cols w:num="2" w:space="0"/>
          <w:titlePg/>
          <w:bidi/>
          <w:rtlGutter/>
        </w:sectPr>
      </w:pPr>
    </w:p>
    <w:p w14:paraId="143AF050" w14:textId="0842563B" w:rsidR="004456F4" w:rsidRDefault="00A75D34" w:rsidP="00BD1644">
      <w:pPr>
        <w:pStyle w:val="ab"/>
        <w:spacing w:before="240"/>
        <w:rPr>
          <w:rStyle w:val="af2"/>
          <w:rFonts w:cs="Miriam"/>
          <w:color w:val="auto"/>
          <w:sz w:val="24"/>
          <w:szCs w:val="40"/>
          <w:rtl/>
        </w:rPr>
      </w:pPr>
      <w:r w:rsidRPr="00FD763D">
        <w:rPr>
          <w:rStyle w:val="af2"/>
          <w:rFonts w:cs="Miriam"/>
          <w:color w:val="auto"/>
          <w:sz w:val="24"/>
          <w:szCs w:val="40"/>
        </w:rPr>
        <w:sym w:font="Wingdings" w:char="F076"/>
      </w:r>
      <w:r w:rsidRPr="00FD763D">
        <w:rPr>
          <w:rStyle w:val="af2"/>
          <w:color w:val="auto"/>
          <w:sz w:val="24"/>
        </w:rPr>
        <w:t xml:space="preserve"> </w:t>
      </w:r>
      <w:r w:rsidRPr="00FD763D">
        <w:rPr>
          <w:rStyle w:val="af2"/>
          <w:rFonts w:cs="Miriam"/>
          <w:color w:val="auto"/>
          <w:sz w:val="24"/>
          <w:szCs w:val="40"/>
        </w:rPr>
        <w:sym w:font="Wingdings" w:char="F076"/>
      </w:r>
      <w:r w:rsidRPr="00FD763D">
        <w:rPr>
          <w:rStyle w:val="af2"/>
          <w:color w:val="auto"/>
          <w:sz w:val="24"/>
        </w:rPr>
        <w:t xml:space="preserve"> </w:t>
      </w:r>
      <w:r w:rsidRPr="00FD763D">
        <w:rPr>
          <w:rStyle w:val="af2"/>
          <w:rFonts w:cs="Miriam"/>
          <w:color w:val="auto"/>
          <w:sz w:val="24"/>
          <w:szCs w:val="40"/>
        </w:rPr>
        <w:sym w:font="Wingdings" w:char="F076"/>
      </w:r>
    </w:p>
    <w:p w14:paraId="5DFA5945" w14:textId="6BA83FA2" w:rsidR="00140EB0" w:rsidRDefault="00140EB0" w:rsidP="00140EB0">
      <w:pPr>
        <w:pStyle w:val="4"/>
        <w:rPr>
          <w:rtl/>
        </w:rPr>
      </w:pPr>
      <w:bookmarkStart w:id="3" w:name="_Toc145602389"/>
      <w:bookmarkStart w:id="4" w:name="_Toc146058260"/>
      <w:bookmarkStart w:id="5" w:name="_Toc168268738"/>
      <w:bookmarkStart w:id="6" w:name="_Toc168327343"/>
      <w:r>
        <w:rPr>
          <w:rFonts w:hint="cs"/>
          <w:rtl/>
        </w:rPr>
        <w:t xml:space="preserve">א. </w:t>
      </w:r>
      <w:r w:rsidRPr="00610E81">
        <w:rPr>
          <w:rFonts w:hint="cs"/>
          <w:rtl/>
        </w:rPr>
        <w:t>מבוא</w:t>
      </w:r>
      <w:bookmarkEnd w:id="3"/>
      <w:bookmarkEnd w:id="4"/>
      <w:bookmarkEnd w:id="5"/>
      <w:bookmarkEnd w:id="6"/>
    </w:p>
    <w:p w14:paraId="683F9065" w14:textId="414B8362" w:rsidR="00140EB0" w:rsidRDefault="00140EB0" w:rsidP="00990163">
      <w:pPr>
        <w:rPr>
          <w:rtl/>
        </w:rPr>
      </w:pPr>
      <w:r>
        <w:rPr>
          <w:rFonts w:hint="cs"/>
          <w:rtl/>
        </w:rPr>
        <w:t xml:space="preserve">מאמר זה יעסוק בשאלה קדם דיונית חשובה </w:t>
      </w:r>
      <w:r w:rsidR="00257C29">
        <w:rPr>
          <w:rFonts w:hint="cs"/>
          <w:rtl/>
        </w:rPr>
        <w:t>ש</w:t>
      </w:r>
      <w:r>
        <w:rPr>
          <w:rFonts w:hint="cs"/>
          <w:rtl/>
        </w:rPr>
        <w:t>מתעוררת כ</w:t>
      </w:r>
      <w:r w:rsidR="00257C29">
        <w:rPr>
          <w:rFonts w:hint="cs"/>
          <w:rtl/>
        </w:rPr>
        <w:t>ש</w:t>
      </w:r>
      <w:r>
        <w:rPr>
          <w:rFonts w:hint="cs"/>
          <w:rtl/>
        </w:rPr>
        <w:t xml:space="preserve">לבית דין לממונות מוגשת תביעה הנוגעת לדירה של איש או אישה נשואים. במצב כזה, נשאלת השאלה מיהו בעל הדין הרלוונטי לדיון </w:t>
      </w:r>
      <w:r w:rsidR="00990163">
        <w:rPr>
          <w:rtl/>
        </w:rPr>
        <w:t>-</w:t>
      </w:r>
      <w:r>
        <w:rPr>
          <w:rFonts w:hint="cs"/>
          <w:rtl/>
        </w:rPr>
        <w:t xml:space="preserve"> האם האיש או האישה </w:t>
      </w:r>
      <w:r w:rsidR="00257C29">
        <w:rPr>
          <w:rFonts w:hint="cs"/>
          <w:rtl/>
        </w:rPr>
        <w:t>ש</w:t>
      </w:r>
      <w:r>
        <w:rPr>
          <w:rFonts w:hint="cs"/>
          <w:rtl/>
        </w:rPr>
        <w:t>רשומים כבעלי הנכס בדירה או טוענים לבעלות בלעדית בדירה, או שמא גם בן זוגם</w:t>
      </w:r>
      <w:r w:rsidR="00257C29">
        <w:rPr>
          <w:rFonts w:hint="cs"/>
          <w:rtl/>
        </w:rPr>
        <w:t>, וזאת</w:t>
      </w:r>
      <w:r>
        <w:rPr>
          <w:rFonts w:hint="cs"/>
          <w:rtl/>
        </w:rPr>
        <w:t xml:space="preserve"> מכוח שותפות הנכסים ביניהם ותקנות חכמים בעניין הבעלות על רכוש במסגרת נישואין. </w:t>
      </w:r>
    </w:p>
    <w:p w14:paraId="699354D8" w14:textId="23188D5C" w:rsidR="00140EB0" w:rsidRDefault="00140EB0" w:rsidP="00990163">
      <w:pPr>
        <w:rPr>
          <w:rtl/>
        </w:rPr>
      </w:pPr>
      <w:r>
        <w:rPr>
          <w:rFonts w:hint="cs"/>
          <w:rtl/>
        </w:rPr>
        <w:t xml:space="preserve">לשאלה </w:t>
      </w:r>
      <w:r w:rsidR="00257C29">
        <w:rPr>
          <w:rFonts w:hint="cs"/>
          <w:rtl/>
        </w:rPr>
        <w:t>זו</w:t>
      </w:r>
      <w:r>
        <w:rPr>
          <w:rFonts w:hint="cs"/>
          <w:rtl/>
        </w:rPr>
        <w:t xml:space="preserve"> חשיבות רבה, שכן </w:t>
      </w:r>
      <w:r w:rsidR="00257C29">
        <w:rPr>
          <w:rFonts w:hint="cs"/>
          <w:rtl/>
        </w:rPr>
        <w:t>על פי ההלכה (</w:t>
      </w:r>
      <w:proofErr w:type="spellStart"/>
      <w:r w:rsidR="00257C29">
        <w:rPr>
          <w:rFonts w:hint="cs"/>
          <w:rtl/>
        </w:rPr>
        <w:t>שו"ע</w:t>
      </w:r>
      <w:proofErr w:type="spellEnd"/>
      <w:r w:rsidR="00257C29">
        <w:rPr>
          <w:rFonts w:hint="cs"/>
          <w:rtl/>
        </w:rPr>
        <w:t xml:space="preserve"> </w:t>
      </w:r>
      <w:proofErr w:type="spellStart"/>
      <w:r w:rsidR="00257C29">
        <w:rPr>
          <w:rFonts w:hint="cs"/>
          <w:rtl/>
        </w:rPr>
        <w:t>חו"מ</w:t>
      </w:r>
      <w:proofErr w:type="spellEnd"/>
      <w:r w:rsidR="00257C29">
        <w:rPr>
          <w:rFonts w:hint="cs"/>
          <w:rtl/>
        </w:rPr>
        <w:t xml:space="preserve"> </w:t>
      </w:r>
      <w:proofErr w:type="spellStart"/>
      <w:r w:rsidR="00257C29">
        <w:rPr>
          <w:rFonts w:hint="cs"/>
          <w:rtl/>
        </w:rPr>
        <w:t>יז,ה</w:t>
      </w:r>
      <w:proofErr w:type="spellEnd"/>
      <w:r w:rsidR="00257C29">
        <w:rPr>
          <w:rFonts w:hint="cs"/>
          <w:rtl/>
        </w:rPr>
        <w:t xml:space="preserve">), מוטלת חובה על הדיינים לתת לכל הצדדים הנוגעים בדבר אפשרות לטעון את טענותיהם בפני בית הדין. בנוסף, כדי שניתן יהיה לאכוף על פי החוק פסק דין שניתן בבית דין לממונות, יש צורך בחתימת </w:t>
      </w:r>
      <w:r w:rsidR="00257C29">
        <w:rPr>
          <w:rFonts w:hint="cs"/>
          <w:b/>
          <w:bCs/>
          <w:rtl/>
        </w:rPr>
        <w:t>כל</w:t>
      </w:r>
      <w:r w:rsidR="00257C29">
        <w:rPr>
          <w:rFonts w:hint="cs"/>
          <w:rtl/>
        </w:rPr>
        <w:t xml:space="preserve"> הצדדים הנוגעים בדבר על שטר בוררות</w:t>
      </w:r>
      <w:r>
        <w:rPr>
          <w:rFonts w:hint="cs"/>
          <w:rtl/>
        </w:rPr>
        <w:t>.</w:t>
      </w:r>
      <w:r>
        <w:rPr>
          <w:rStyle w:val="ac"/>
          <w:rtl/>
        </w:rPr>
        <w:footnoteReference w:id="2"/>
      </w:r>
    </w:p>
    <w:p w14:paraId="542AE0B9" w14:textId="61545ECA" w:rsidR="00140EB0" w:rsidRDefault="00140EB0" w:rsidP="00990163">
      <w:pPr>
        <w:rPr>
          <w:rtl/>
        </w:rPr>
      </w:pPr>
      <w:r>
        <w:rPr>
          <w:rFonts w:hint="cs"/>
          <w:rtl/>
        </w:rPr>
        <w:t xml:space="preserve">התשובה לשאלה </w:t>
      </w:r>
      <w:r w:rsidR="00257C29">
        <w:rPr>
          <w:rFonts w:hint="cs"/>
          <w:rtl/>
        </w:rPr>
        <w:t>זו</w:t>
      </w:r>
      <w:r>
        <w:rPr>
          <w:rFonts w:hint="cs"/>
          <w:rtl/>
        </w:rPr>
        <w:t xml:space="preserve"> עשויה להיות תלויה במספר פרטים: </w:t>
      </w:r>
      <w:r w:rsidRPr="00BD1644">
        <w:rPr>
          <w:rFonts w:hint="cs"/>
          <w:b/>
          <w:bCs/>
          <w:rtl/>
        </w:rPr>
        <w:t>א.</w:t>
      </w:r>
      <w:r>
        <w:rPr>
          <w:rFonts w:hint="cs"/>
          <w:rtl/>
        </w:rPr>
        <w:t xml:space="preserve"> זהות רוכש הנכס: האם הדירה נקנתה על ידי אחד מבני הזוג או על ידי שניהם</w:t>
      </w:r>
      <w:r w:rsidR="00257C29">
        <w:rPr>
          <w:rFonts w:hint="cs"/>
          <w:rtl/>
        </w:rPr>
        <w:t>;</w:t>
      </w:r>
      <w:r>
        <w:rPr>
          <w:rFonts w:hint="cs"/>
          <w:rtl/>
        </w:rPr>
        <w:t xml:space="preserve"> </w:t>
      </w:r>
      <w:r w:rsidRPr="00BD1644">
        <w:rPr>
          <w:rFonts w:hint="cs"/>
          <w:b/>
          <w:bCs/>
          <w:rtl/>
        </w:rPr>
        <w:t>ב.</w:t>
      </w:r>
      <w:r>
        <w:rPr>
          <w:rFonts w:hint="cs"/>
          <w:rtl/>
        </w:rPr>
        <w:t xml:space="preserve"> מועד רכישת הנכס: האם לפני הנישואין או במהלכם; </w:t>
      </w:r>
      <w:r w:rsidRPr="00BD1644">
        <w:rPr>
          <w:rFonts w:hint="cs"/>
          <w:b/>
          <w:bCs/>
          <w:rtl/>
        </w:rPr>
        <w:t xml:space="preserve">ג. </w:t>
      </w:r>
      <w:r>
        <w:rPr>
          <w:rFonts w:hint="cs"/>
          <w:rtl/>
        </w:rPr>
        <w:t>אופן קבלת הבעלות על הנכס: האם במתנה וירושה או ברכישה, ואם ברכישה</w:t>
      </w:r>
      <w:r w:rsidR="00257C29">
        <w:rPr>
          <w:rFonts w:hint="cs"/>
          <w:rtl/>
        </w:rPr>
        <w:t>,</w:t>
      </w:r>
      <w:r>
        <w:rPr>
          <w:rFonts w:hint="cs"/>
          <w:rtl/>
        </w:rPr>
        <w:t xml:space="preserve"> באילו כספים; </w:t>
      </w:r>
      <w:r w:rsidRPr="00BD1644">
        <w:rPr>
          <w:rFonts w:hint="cs"/>
          <w:b/>
          <w:bCs/>
          <w:rtl/>
        </w:rPr>
        <w:t>ד.</w:t>
      </w:r>
      <w:r>
        <w:rPr>
          <w:rFonts w:hint="cs"/>
          <w:rtl/>
        </w:rPr>
        <w:t xml:space="preserve"> הרישום של הנכס: האם הנכס רשום על שם אחד מבני הזוג או שניהם</w:t>
      </w:r>
      <w:r w:rsidR="00257C29">
        <w:rPr>
          <w:rFonts w:hint="cs"/>
          <w:rtl/>
        </w:rPr>
        <w:t>;</w:t>
      </w:r>
      <w:r>
        <w:rPr>
          <w:rFonts w:hint="cs"/>
          <w:rtl/>
        </w:rPr>
        <w:t xml:space="preserve"> </w:t>
      </w:r>
      <w:r w:rsidRPr="00BD1644">
        <w:rPr>
          <w:rFonts w:hint="cs"/>
          <w:b/>
          <w:bCs/>
          <w:rtl/>
        </w:rPr>
        <w:t>ה.</w:t>
      </w:r>
      <w:r>
        <w:rPr>
          <w:rFonts w:hint="cs"/>
          <w:rtl/>
        </w:rPr>
        <w:t xml:space="preserve"> השימוש בנכס: האם הנכס משמש כדירת מגורים של שני בני הזוג או שהוא מושכר; </w:t>
      </w:r>
      <w:r w:rsidRPr="00BD1644">
        <w:rPr>
          <w:rFonts w:hint="cs"/>
          <w:b/>
          <w:bCs/>
          <w:rtl/>
        </w:rPr>
        <w:t>ו.</w:t>
      </w:r>
      <w:r>
        <w:rPr>
          <w:rFonts w:hint="cs"/>
          <w:rtl/>
        </w:rPr>
        <w:t xml:space="preserve"> אם הנכס משמש להשכרה: לחשבון של מי </w:t>
      </w:r>
      <w:r w:rsidR="00257C29">
        <w:rPr>
          <w:rFonts w:hint="cs"/>
          <w:rtl/>
        </w:rPr>
        <w:t>מהם</w:t>
      </w:r>
      <w:r>
        <w:rPr>
          <w:rFonts w:hint="cs"/>
          <w:rtl/>
        </w:rPr>
        <w:t xml:space="preserve"> נכנסים דמי השכירות</w:t>
      </w:r>
      <w:r w:rsidR="00257C29">
        <w:rPr>
          <w:rFonts w:hint="cs"/>
          <w:rtl/>
        </w:rPr>
        <w:t>;</w:t>
      </w:r>
      <w:r>
        <w:rPr>
          <w:rFonts w:hint="cs"/>
          <w:rtl/>
        </w:rPr>
        <w:t xml:space="preserve"> </w:t>
      </w:r>
      <w:r w:rsidRPr="00BD1644">
        <w:rPr>
          <w:rFonts w:hint="cs"/>
          <w:b/>
          <w:bCs/>
          <w:rtl/>
        </w:rPr>
        <w:t>ז.</w:t>
      </w:r>
      <w:r>
        <w:rPr>
          <w:rFonts w:hint="cs"/>
          <w:rtl/>
        </w:rPr>
        <w:t xml:space="preserve"> מהות הסכסוך: האם נוגע לדירה עצמה או לרווחיה או להוצאות על שיפוצה ואחזקתה.</w:t>
      </w:r>
    </w:p>
    <w:p w14:paraId="0BFBF586" w14:textId="18DBED07" w:rsidR="00140EB0" w:rsidRDefault="00140EB0" w:rsidP="00140EB0">
      <w:pPr>
        <w:pStyle w:val="4"/>
        <w:rPr>
          <w:rtl/>
        </w:rPr>
      </w:pPr>
      <w:bookmarkStart w:id="7" w:name="_Toc145602390"/>
      <w:bookmarkStart w:id="8" w:name="_Toc146058261"/>
      <w:bookmarkStart w:id="9" w:name="_Toc168268739"/>
      <w:bookmarkStart w:id="10" w:name="_Toc168327344"/>
      <w:r>
        <w:rPr>
          <w:rFonts w:hint="cs"/>
          <w:rtl/>
        </w:rPr>
        <w:lastRenderedPageBreak/>
        <w:t xml:space="preserve">ב. עמדת </w:t>
      </w:r>
      <w:r>
        <w:rPr>
          <w:rtl/>
        </w:rPr>
        <w:t>החוק</w:t>
      </w:r>
      <w:r>
        <w:rPr>
          <w:rFonts w:hint="cs"/>
          <w:rtl/>
        </w:rPr>
        <w:t xml:space="preserve"> </w:t>
      </w:r>
      <w:r w:rsidR="00257C29">
        <w:rPr>
          <w:rFonts w:hint="cs"/>
          <w:rtl/>
        </w:rPr>
        <w:t>ו</w:t>
      </w:r>
      <w:r>
        <w:rPr>
          <w:rFonts w:hint="cs"/>
          <w:rtl/>
        </w:rPr>
        <w:t>הנוהג</w:t>
      </w:r>
      <w:bookmarkEnd w:id="7"/>
      <w:bookmarkEnd w:id="8"/>
      <w:bookmarkEnd w:id="9"/>
      <w:bookmarkEnd w:id="10"/>
    </w:p>
    <w:p w14:paraId="611EAAAC" w14:textId="77777777" w:rsidR="00257C29" w:rsidRDefault="00257C29" w:rsidP="00E76D1D">
      <w:pPr>
        <w:pStyle w:val="-a"/>
        <w:rPr>
          <w:rtl/>
        </w:rPr>
      </w:pPr>
      <w:r>
        <w:rPr>
          <w:rFonts w:hint="cs"/>
          <w:rtl/>
        </w:rPr>
        <w:t>לפני</w:t>
      </w:r>
      <w:r w:rsidR="00140EB0">
        <w:rPr>
          <w:rFonts w:hint="cs"/>
          <w:rtl/>
        </w:rPr>
        <w:t xml:space="preserve"> שנבחן את עמדת ההלכה בשאלה שלפנינו</w:t>
      </w:r>
      <w:r>
        <w:rPr>
          <w:rFonts w:hint="cs"/>
          <w:rtl/>
        </w:rPr>
        <w:t>,</w:t>
      </w:r>
      <w:r w:rsidR="00140EB0">
        <w:rPr>
          <w:rFonts w:hint="cs"/>
          <w:rtl/>
        </w:rPr>
        <w:t xml:space="preserve"> נסקור את המצב החוקי במדינת ישראל, כיוון שיש לו השפעה על חוק הבוררות, </w:t>
      </w:r>
      <w:r>
        <w:rPr>
          <w:rFonts w:hint="cs"/>
          <w:rtl/>
        </w:rPr>
        <w:t>ו</w:t>
      </w:r>
      <w:r w:rsidR="00140EB0">
        <w:rPr>
          <w:rFonts w:hint="cs"/>
          <w:rtl/>
        </w:rPr>
        <w:t xml:space="preserve">ייתכן שתהיה לו השפעה גם על פסיקת ההלכה. </w:t>
      </w:r>
      <w:r>
        <w:rPr>
          <w:rFonts w:hint="cs"/>
          <w:rtl/>
        </w:rPr>
        <w:t>סעיף 2 ל</w:t>
      </w:r>
      <w:r w:rsidR="00140EB0">
        <w:rPr>
          <w:rtl/>
        </w:rPr>
        <w:t>חוק שיווי זכיות האישה</w:t>
      </w:r>
      <w:r>
        <w:rPr>
          <w:rFonts w:hint="cs"/>
          <w:rtl/>
        </w:rPr>
        <w:t xml:space="preserve"> (תשי"א-1951)</w:t>
      </w:r>
      <w:r>
        <w:rPr>
          <w:rStyle w:val="ac"/>
          <w:rFonts w:hint="cs"/>
          <w:rtl/>
        </w:rPr>
        <w:t xml:space="preserve"> </w:t>
      </w:r>
      <w:r w:rsidR="00140EB0">
        <w:rPr>
          <w:rFonts w:hint="cs"/>
          <w:rtl/>
        </w:rPr>
        <w:t xml:space="preserve"> קובע</w:t>
      </w:r>
      <w:r>
        <w:rPr>
          <w:rFonts w:hint="cs"/>
          <w:rtl/>
        </w:rPr>
        <w:t>:</w:t>
      </w:r>
      <w:r w:rsidR="00140EB0">
        <w:rPr>
          <w:rtl/>
        </w:rPr>
        <w:t xml:space="preserve"> </w:t>
      </w:r>
    </w:p>
    <w:p w14:paraId="5C06C0C3" w14:textId="73988D80" w:rsidR="00140EB0" w:rsidRDefault="00140EB0" w:rsidP="00257C29">
      <w:pPr>
        <w:pStyle w:val="af3"/>
        <w:rPr>
          <w:rtl/>
        </w:rPr>
      </w:pPr>
      <w:r>
        <w:rPr>
          <w:rtl/>
        </w:rPr>
        <w:t>לא</w:t>
      </w:r>
      <w:r w:rsidR="00257C29">
        <w:rPr>
          <w:rFonts w:hint="cs"/>
          <w:rtl/>
        </w:rPr>
        <w:t>י</w:t>
      </w:r>
      <w:r>
        <w:rPr>
          <w:rtl/>
        </w:rPr>
        <w:t>שה נשואה תהיה כשרות מלאה לקני</w:t>
      </w:r>
      <w:r w:rsidR="00257C29">
        <w:rPr>
          <w:rFonts w:hint="cs"/>
          <w:rtl/>
        </w:rPr>
        <w:t>י</w:t>
      </w:r>
      <w:r>
        <w:rPr>
          <w:rtl/>
        </w:rPr>
        <w:t>ן ולעש</w:t>
      </w:r>
      <w:r w:rsidR="00257C29">
        <w:rPr>
          <w:rFonts w:hint="cs"/>
          <w:rtl/>
        </w:rPr>
        <w:t>י</w:t>
      </w:r>
      <w:r>
        <w:rPr>
          <w:rtl/>
        </w:rPr>
        <w:t>יה בקנ</w:t>
      </w:r>
      <w:r w:rsidR="00257C29">
        <w:rPr>
          <w:rFonts w:hint="cs"/>
          <w:rtl/>
        </w:rPr>
        <w:t>י</w:t>
      </w:r>
      <w:r>
        <w:rPr>
          <w:rtl/>
        </w:rPr>
        <w:t xml:space="preserve">ינים כאילו </w:t>
      </w:r>
      <w:proofErr w:type="spellStart"/>
      <w:r>
        <w:rPr>
          <w:rtl/>
        </w:rPr>
        <w:t>היתה</w:t>
      </w:r>
      <w:proofErr w:type="spellEnd"/>
      <w:r>
        <w:rPr>
          <w:rtl/>
        </w:rPr>
        <w:t xml:space="preserve"> פנויה; ואין קנ</w:t>
      </w:r>
      <w:r w:rsidR="00257C29">
        <w:rPr>
          <w:rFonts w:hint="cs"/>
          <w:rtl/>
        </w:rPr>
        <w:t>י</w:t>
      </w:r>
      <w:r>
        <w:rPr>
          <w:rtl/>
        </w:rPr>
        <w:t xml:space="preserve">יניה שרכשה לפני הנישואין נפגעים על ידי קשר </w:t>
      </w:r>
      <w:r w:rsidRPr="00990163">
        <w:rPr>
          <w:rStyle w:val="aff"/>
          <w:rFonts w:hint="cs"/>
          <w:rtl/>
        </w:rPr>
        <w:t>הני</w:t>
      </w:r>
      <w:r>
        <w:rPr>
          <w:rtl/>
        </w:rPr>
        <w:t>שואין.</w:t>
      </w:r>
      <w:r>
        <w:rPr>
          <w:rFonts w:hint="cs"/>
          <w:rtl/>
        </w:rPr>
        <w:t xml:space="preserve"> </w:t>
      </w:r>
    </w:p>
    <w:p w14:paraId="25D9812B" w14:textId="77777777" w:rsidR="00257C29" w:rsidRDefault="00140EB0" w:rsidP="00E76D1D">
      <w:pPr>
        <w:pStyle w:val="-a"/>
        <w:rPr>
          <w:rtl/>
        </w:rPr>
      </w:pPr>
      <w:r>
        <w:rPr>
          <w:rFonts w:hint="cs"/>
          <w:rtl/>
        </w:rPr>
        <w:t xml:space="preserve">גם </w:t>
      </w:r>
      <w:r w:rsidR="00257C29">
        <w:rPr>
          <w:rFonts w:hint="cs"/>
          <w:rtl/>
        </w:rPr>
        <w:t>סעיף 4 ל</w:t>
      </w:r>
      <w:r>
        <w:rPr>
          <w:rtl/>
        </w:rPr>
        <w:t>חוק יחסי ממון</w:t>
      </w:r>
      <w:r w:rsidR="00257C29">
        <w:rPr>
          <w:rFonts w:hint="cs"/>
          <w:rtl/>
        </w:rPr>
        <w:t xml:space="preserve"> (תשל"ג-1973) </w:t>
      </w:r>
      <w:r>
        <w:rPr>
          <w:rFonts w:hint="cs"/>
          <w:rtl/>
        </w:rPr>
        <w:t>קובע</w:t>
      </w:r>
      <w:r w:rsidR="00257C29">
        <w:rPr>
          <w:rFonts w:hint="cs"/>
          <w:rtl/>
        </w:rPr>
        <w:t>:</w:t>
      </w:r>
    </w:p>
    <w:p w14:paraId="3EBEFE9B" w14:textId="77777777" w:rsidR="00257C29" w:rsidRDefault="00140EB0" w:rsidP="00257C29">
      <w:pPr>
        <w:pStyle w:val="af3"/>
        <w:rPr>
          <w:rtl/>
        </w:rPr>
      </w:pPr>
      <w:r>
        <w:rPr>
          <w:rtl/>
        </w:rPr>
        <w:t>אין בכריתת הנישואין או בקיומם כשלעצמם כדי לפגוע בקנ</w:t>
      </w:r>
      <w:r>
        <w:rPr>
          <w:rFonts w:hint="cs"/>
          <w:rtl/>
        </w:rPr>
        <w:t>י</w:t>
      </w:r>
      <w:r>
        <w:rPr>
          <w:rtl/>
        </w:rPr>
        <w:t>ינים של בני הזוג, להקנות לאחד מהם זכויות בנכסי השני או להטיל עליו אחריות לחובות השני.</w:t>
      </w:r>
      <w:r>
        <w:rPr>
          <w:rFonts w:hint="cs"/>
          <w:rtl/>
        </w:rPr>
        <w:t xml:space="preserve"> </w:t>
      </w:r>
    </w:p>
    <w:p w14:paraId="0A1DE3B1" w14:textId="49B4F8F0" w:rsidR="00140EB0" w:rsidRDefault="00140EB0" w:rsidP="00140EB0">
      <w:pPr>
        <w:rPr>
          <w:rtl/>
        </w:rPr>
      </w:pPr>
      <w:r>
        <w:rPr>
          <w:rFonts w:hint="cs"/>
          <w:rtl/>
        </w:rPr>
        <w:t xml:space="preserve">רק עם פקיעת הנישואין או בעת הגשת בקשה לאיזון משאבים בשל ערעור מערכת היחסים הזוגית, מחולקים הנכסים שווה בשווה בין בני הזוג, למעט חריגים המנויים בסעיף 5 לחוק. </w:t>
      </w:r>
    </w:p>
    <w:p w14:paraId="37B4B187" w14:textId="63D36064" w:rsidR="00140EB0" w:rsidRDefault="00140EB0" w:rsidP="00140EB0">
      <w:pPr>
        <w:rPr>
          <w:rtl/>
        </w:rPr>
      </w:pPr>
      <w:r>
        <w:rPr>
          <w:rFonts w:hint="cs"/>
          <w:rtl/>
        </w:rPr>
        <w:t xml:space="preserve">יש לציין כי חוק יחסי ממון קבע הסדר ממוני בין בני זוג נשואים </w:t>
      </w:r>
      <w:r w:rsidR="0048705A">
        <w:rPr>
          <w:rFonts w:hint="cs"/>
          <w:rtl/>
        </w:rPr>
        <w:t>ש</w:t>
      </w:r>
      <w:r>
        <w:rPr>
          <w:rFonts w:hint="cs"/>
          <w:rtl/>
        </w:rPr>
        <w:t>מנוגד לכללים שהתפתחו בפסיקת בתי המשפט עד לאותו מועד.</w:t>
      </w:r>
      <w:r>
        <w:rPr>
          <w:rStyle w:val="ac"/>
          <w:rtl/>
        </w:rPr>
        <w:footnoteReference w:id="3"/>
      </w:r>
      <w:r>
        <w:rPr>
          <w:rFonts w:hint="cs"/>
          <w:rtl/>
        </w:rPr>
        <w:t xml:space="preserve"> בפסיקה שקדמה לחקיקת החוק</w:t>
      </w:r>
      <w:r w:rsidR="0048705A">
        <w:rPr>
          <w:rFonts w:hint="cs"/>
          <w:rtl/>
        </w:rPr>
        <w:t>,</w:t>
      </w:r>
      <w:r>
        <w:rPr>
          <w:rFonts w:hint="cs"/>
          <w:rtl/>
        </w:rPr>
        <w:t xml:space="preserve"> נהוג היה להחיל בין בני זוג נשואים את 'חזקת השיתוף', שמשמעותה שחזקה כי בני זוג נשואים מתכוונים לשתף זה את זה בנכסיהם. היקף השיתוף היה תלוי בגורמים שונים </w:t>
      </w:r>
      <w:r w:rsidR="00990163">
        <w:rPr>
          <w:rtl/>
        </w:rPr>
        <w:t>-</w:t>
      </w:r>
      <w:r>
        <w:rPr>
          <w:rFonts w:hint="cs"/>
          <w:rtl/>
        </w:rPr>
        <w:t xml:space="preserve"> כמו כוונתם המשוערת והמפורשת של הצדדים, מאמץ משותף לקיום המסגרת הזוגית והמשפחתית ואורח חיים זוגי תקין. בתי המשפט הלכו והרחיבו עם השנים את חזקת השיתוף, וחלקם כללו בה אף נכסים של בני הזוג שנצברו</w:t>
      </w:r>
      <w:r w:rsidR="0048705A">
        <w:rPr>
          <w:rFonts w:hint="cs"/>
          <w:rtl/>
        </w:rPr>
        <w:t xml:space="preserve"> שלא</w:t>
      </w:r>
      <w:r>
        <w:rPr>
          <w:rFonts w:hint="cs"/>
          <w:rtl/>
        </w:rPr>
        <w:t xml:space="preserve"> בעקבות המאמץ המשותף</w:t>
      </w:r>
      <w:r w:rsidR="0048705A">
        <w:rPr>
          <w:rFonts w:hint="cs"/>
          <w:rtl/>
        </w:rPr>
        <w:t>,</w:t>
      </w:r>
      <w:r>
        <w:rPr>
          <w:rFonts w:hint="cs"/>
          <w:rtl/>
        </w:rPr>
        <w:t xml:space="preserve"> כגון נכסים טרם הנישואין, מתנות או ירושות, נכסים הרשומים על שם אחד מבני הזוג, נכסים עסקיים ולא רק משפחתיים ועוד. </w:t>
      </w:r>
    </w:p>
    <w:p w14:paraId="2A0B52AC" w14:textId="77777777" w:rsidR="00140EB0" w:rsidRDefault="00140EB0" w:rsidP="00140EB0">
      <w:pPr>
        <w:rPr>
          <w:rtl/>
        </w:rPr>
      </w:pPr>
      <w:r>
        <w:rPr>
          <w:rFonts w:hint="cs"/>
          <w:rtl/>
        </w:rPr>
        <w:t xml:space="preserve">חוק יחסי ממון קטע מגמה זו בפסיקה בקבעו הסדר על פיו במהלך הנישואין כל אחד מבני הזוג הינו הבעלים על הנכסים שצבר, הן לפני הנישואין הן במהלכם. חלוקת הנכסים בין בני הזוג מתבצעת, כאמור, רק עם פירוק התא המשפחתי. </w:t>
      </w:r>
    </w:p>
    <w:p w14:paraId="3FD04984" w14:textId="481CD345" w:rsidR="00140EB0" w:rsidRDefault="00140EB0" w:rsidP="0048705A">
      <w:pPr>
        <w:rPr>
          <w:rtl/>
        </w:rPr>
      </w:pPr>
      <w:r>
        <w:rPr>
          <w:rFonts w:hint="cs"/>
          <w:rtl/>
        </w:rPr>
        <w:t>כמו כן נקבע במפורש כי במסגרת הנכסים המשותפים לא נכללים נכסים שלא היו חלק מהמערכת הזוגית (</w:t>
      </w:r>
      <w:proofErr w:type="spellStart"/>
      <w:r w:rsidR="0048705A">
        <w:rPr>
          <w:rFonts w:hint="cs"/>
          <w:rtl/>
        </w:rPr>
        <w:t>כדלעיל</w:t>
      </w:r>
      <w:proofErr w:type="spellEnd"/>
      <w:r>
        <w:rPr>
          <w:rFonts w:hint="cs"/>
          <w:rtl/>
        </w:rPr>
        <w:t xml:space="preserve">). </w:t>
      </w:r>
      <w:r w:rsidR="0048705A">
        <w:rPr>
          <w:rFonts w:hint="cs"/>
          <w:rtl/>
        </w:rPr>
        <w:t>אף על פי כן</w:t>
      </w:r>
      <w:r>
        <w:rPr>
          <w:rFonts w:hint="cs"/>
          <w:rtl/>
        </w:rPr>
        <w:t>, עם הזמן החלו בתי המשפט לכלול לעיתים גם נכסים כאלה מכוח הוכחת חזקת שיתוף ספציפית על פי חוק החוזים ועוד.</w:t>
      </w:r>
      <w:r>
        <w:rPr>
          <w:rStyle w:val="ac"/>
          <w:rtl/>
        </w:rPr>
        <w:footnoteReference w:id="4"/>
      </w:r>
      <w:r>
        <w:rPr>
          <w:rFonts w:hint="cs"/>
          <w:rtl/>
        </w:rPr>
        <w:t xml:space="preserve"> </w:t>
      </w:r>
      <w:r w:rsidR="0048705A">
        <w:rPr>
          <w:rFonts w:hint="cs"/>
          <w:rtl/>
        </w:rPr>
        <w:t>כמו כן,</w:t>
      </w:r>
      <w:r>
        <w:rPr>
          <w:rFonts w:hint="cs"/>
          <w:rtl/>
        </w:rPr>
        <w:t xml:space="preserve"> ביחס לבית המגורים המשפחתי</w:t>
      </w:r>
      <w:r w:rsidR="0048705A">
        <w:rPr>
          <w:rFonts w:hint="cs"/>
          <w:rtl/>
        </w:rPr>
        <w:t xml:space="preserve">, </w:t>
      </w:r>
      <w:r>
        <w:rPr>
          <w:rFonts w:hint="cs"/>
          <w:rtl/>
        </w:rPr>
        <w:t>נקבע בפסיקה שהשיתוף הזוגי מ</w:t>
      </w:r>
      <w:r w:rsidR="0048705A">
        <w:rPr>
          <w:rFonts w:hint="cs"/>
          <w:rtl/>
        </w:rPr>
        <w:t>ת</w:t>
      </w:r>
      <w:r>
        <w:rPr>
          <w:rFonts w:hint="cs"/>
          <w:rtl/>
        </w:rPr>
        <w:t>ח</w:t>
      </w:r>
      <w:r w:rsidR="0048705A">
        <w:rPr>
          <w:rFonts w:hint="cs"/>
          <w:rtl/>
        </w:rPr>
        <w:t>י</w:t>
      </w:r>
      <w:r>
        <w:rPr>
          <w:rFonts w:hint="cs"/>
          <w:rtl/>
        </w:rPr>
        <w:t xml:space="preserve">ל מיד בתחילת הנישואין ולא רק עם פירוקם. לכן כל </w:t>
      </w:r>
      <w:r>
        <w:rPr>
          <w:rtl/>
        </w:rPr>
        <w:t xml:space="preserve">פעולה משפטית הנוגעת </w:t>
      </w:r>
      <w:r>
        <w:rPr>
          <w:rFonts w:hint="cs"/>
          <w:rtl/>
        </w:rPr>
        <w:t>ל</w:t>
      </w:r>
      <w:r>
        <w:rPr>
          <w:rtl/>
        </w:rPr>
        <w:t>בית המגורים המשפחתי</w:t>
      </w:r>
      <w:r>
        <w:rPr>
          <w:rFonts w:hint="cs"/>
          <w:rtl/>
        </w:rPr>
        <w:t xml:space="preserve">, אף </w:t>
      </w:r>
      <w:r w:rsidR="0048705A">
        <w:rPr>
          <w:rFonts w:hint="cs"/>
          <w:rtl/>
        </w:rPr>
        <w:t>אם</w:t>
      </w:r>
      <w:r>
        <w:rPr>
          <w:rFonts w:hint="cs"/>
          <w:rtl/>
        </w:rPr>
        <w:t xml:space="preserve"> ה</w:t>
      </w:r>
      <w:r w:rsidR="0048705A">
        <w:rPr>
          <w:rFonts w:hint="cs"/>
          <w:rtl/>
        </w:rPr>
        <w:t xml:space="preserve">וא </w:t>
      </w:r>
      <w:r>
        <w:rPr>
          <w:rFonts w:hint="cs"/>
          <w:rtl/>
        </w:rPr>
        <w:t>רשום</w:t>
      </w:r>
      <w:r w:rsidR="0048705A">
        <w:rPr>
          <w:rFonts w:hint="cs"/>
          <w:rtl/>
        </w:rPr>
        <w:t xml:space="preserve"> רק</w:t>
      </w:r>
      <w:r>
        <w:rPr>
          <w:rFonts w:hint="cs"/>
          <w:rtl/>
        </w:rPr>
        <w:t xml:space="preserve"> על שם אחד מבני הזוג, דורשת הסכמה מפורשת של בן הזוג </w:t>
      </w:r>
      <w:r w:rsidR="0048705A">
        <w:rPr>
          <w:rFonts w:hint="cs"/>
          <w:rtl/>
        </w:rPr>
        <w:t>השני</w:t>
      </w:r>
      <w:r>
        <w:rPr>
          <w:rFonts w:hint="cs"/>
          <w:rtl/>
        </w:rPr>
        <w:t>. בהיעדר הסכמה כזו</w:t>
      </w:r>
      <w:r w:rsidR="0048705A">
        <w:rPr>
          <w:rFonts w:hint="cs"/>
          <w:rtl/>
        </w:rPr>
        <w:t>,</w:t>
      </w:r>
      <w:r>
        <w:rPr>
          <w:rFonts w:hint="cs"/>
          <w:rtl/>
        </w:rPr>
        <w:t xml:space="preserve"> הפעולה המשפטית שבוצעה אינה יכולה לשלול את זכויותיו בנכס.</w:t>
      </w:r>
      <w:r>
        <w:rPr>
          <w:rStyle w:val="ac"/>
          <w:rtl/>
        </w:rPr>
        <w:footnoteReference w:id="5"/>
      </w:r>
      <w:r>
        <w:rPr>
          <w:rFonts w:hint="cs"/>
          <w:rtl/>
        </w:rPr>
        <w:t xml:space="preserve"> </w:t>
      </w:r>
    </w:p>
    <w:p w14:paraId="34A11BDB" w14:textId="61C7C584" w:rsidR="00140EB0" w:rsidRDefault="00140EB0" w:rsidP="00140EB0">
      <w:pPr>
        <w:rPr>
          <w:rtl/>
        </w:rPr>
      </w:pPr>
      <w:r>
        <w:rPr>
          <w:rFonts w:hint="cs"/>
          <w:rtl/>
        </w:rPr>
        <w:t>מכאן שעל פי החוק הנוהג, מקרקעין הרשומים על ש</w:t>
      </w:r>
      <w:r w:rsidR="0048705A">
        <w:rPr>
          <w:rFonts w:hint="cs"/>
          <w:rtl/>
        </w:rPr>
        <w:t>ם</w:t>
      </w:r>
      <w:r>
        <w:rPr>
          <w:rFonts w:hint="cs"/>
          <w:rtl/>
        </w:rPr>
        <w:t xml:space="preserve"> </w:t>
      </w:r>
      <w:r w:rsidR="0048705A">
        <w:rPr>
          <w:rFonts w:hint="cs"/>
          <w:rtl/>
        </w:rPr>
        <w:t>אחד מבני הזוג,</w:t>
      </w:r>
      <w:r>
        <w:rPr>
          <w:rFonts w:hint="cs"/>
          <w:rtl/>
        </w:rPr>
        <w:t xml:space="preserve"> וכן הרווחים המופקים מהם (</w:t>
      </w:r>
      <w:r w:rsidR="0048705A">
        <w:rPr>
          <w:rFonts w:hint="cs"/>
          <w:rtl/>
        </w:rPr>
        <w:t xml:space="preserve">כגון </w:t>
      </w:r>
      <w:r>
        <w:rPr>
          <w:rFonts w:hint="cs"/>
          <w:rtl/>
        </w:rPr>
        <w:t>דמי שכירות), בין אם הם היו בבעלות</w:t>
      </w:r>
      <w:r w:rsidR="0048705A">
        <w:rPr>
          <w:rFonts w:hint="cs"/>
          <w:rtl/>
        </w:rPr>
        <w:t>ו</w:t>
      </w:r>
      <w:r>
        <w:rPr>
          <w:rFonts w:hint="cs"/>
          <w:rtl/>
        </w:rPr>
        <w:t xml:space="preserve"> טרם הנישואין</w:t>
      </w:r>
      <w:r w:rsidR="0048705A">
        <w:rPr>
          <w:rFonts w:hint="cs"/>
          <w:rtl/>
        </w:rPr>
        <w:t>,</w:t>
      </w:r>
      <w:r>
        <w:rPr>
          <w:rFonts w:hint="cs"/>
          <w:rtl/>
        </w:rPr>
        <w:t xml:space="preserve"> בין אם עברו לידי</w:t>
      </w:r>
      <w:r w:rsidR="0048705A">
        <w:rPr>
          <w:rFonts w:hint="cs"/>
          <w:rtl/>
        </w:rPr>
        <w:t>ו</w:t>
      </w:r>
      <w:r>
        <w:rPr>
          <w:rFonts w:hint="cs"/>
          <w:rtl/>
        </w:rPr>
        <w:t xml:space="preserve"> במהלך הנישואין, בין אם באמצעות רכישה בכספי</w:t>
      </w:r>
      <w:r w:rsidR="00C93C4E">
        <w:rPr>
          <w:rFonts w:hint="cs"/>
          <w:rtl/>
        </w:rPr>
        <w:t>ו</w:t>
      </w:r>
      <w:r>
        <w:rPr>
          <w:rFonts w:hint="cs"/>
          <w:rtl/>
        </w:rPr>
        <w:t xml:space="preserve"> בלבד או באמצעות מתנה או ירושה, נחשבים כשייכים ל</w:t>
      </w:r>
      <w:r w:rsidR="0048705A">
        <w:rPr>
          <w:rFonts w:hint="cs"/>
          <w:rtl/>
        </w:rPr>
        <w:t>ו</w:t>
      </w:r>
      <w:r>
        <w:rPr>
          <w:rFonts w:hint="cs"/>
          <w:rtl/>
        </w:rPr>
        <w:t xml:space="preserve"> בלבד. אולם בכל הנוגע לדירת המגורים של בני הזוג, אם מתעורר סכסוך מול צד ג', יש צורך בהסכמתו של בן הזוג </w:t>
      </w:r>
      <w:r w:rsidR="0048705A">
        <w:rPr>
          <w:rFonts w:hint="cs"/>
          <w:rtl/>
        </w:rPr>
        <w:t>השני ש</w:t>
      </w:r>
      <w:r>
        <w:rPr>
          <w:rFonts w:hint="cs"/>
          <w:rtl/>
        </w:rPr>
        <w:t xml:space="preserve">גר בדירה לכל דיון והסכמה העשויים להשפיע על זכויותיו בדירה, גם אם </w:t>
      </w:r>
      <w:r w:rsidR="0048705A">
        <w:rPr>
          <w:rFonts w:hint="cs"/>
          <w:rtl/>
        </w:rPr>
        <w:t>אינו</w:t>
      </w:r>
      <w:r>
        <w:rPr>
          <w:rFonts w:hint="cs"/>
          <w:rtl/>
        </w:rPr>
        <w:t xml:space="preserve"> רשום כבעלים על הנכס. </w:t>
      </w:r>
    </w:p>
    <w:p w14:paraId="23B65E4D" w14:textId="192C6663" w:rsidR="00140EB0" w:rsidRDefault="00140EB0" w:rsidP="00140EB0">
      <w:pPr>
        <w:pStyle w:val="4"/>
        <w:rPr>
          <w:rtl/>
        </w:rPr>
      </w:pPr>
      <w:bookmarkStart w:id="11" w:name="_Toc145602391"/>
      <w:bookmarkStart w:id="12" w:name="_Toc146058262"/>
      <w:bookmarkStart w:id="13" w:name="_Toc168268740"/>
      <w:bookmarkStart w:id="14" w:name="_Toc168327345"/>
      <w:r>
        <w:rPr>
          <w:rFonts w:hint="cs"/>
          <w:rtl/>
        </w:rPr>
        <w:lastRenderedPageBreak/>
        <w:t>ג. הסדרי הממון בין בני זוג על פי ההלכה</w:t>
      </w:r>
      <w:bookmarkEnd w:id="11"/>
      <w:bookmarkEnd w:id="12"/>
      <w:bookmarkEnd w:id="13"/>
      <w:bookmarkEnd w:id="14"/>
      <w:r>
        <w:rPr>
          <w:rFonts w:hint="cs"/>
          <w:rtl/>
        </w:rPr>
        <w:t xml:space="preserve"> </w:t>
      </w:r>
    </w:p>
    <w:p w14:paraId="264C7D3A" w14:textId="77777777" w:rsidR="00140EB0" w:rsidRDefault="00140EB0" w:rsidP="00990163">
      <w:pPr>
        <w:rPr>
          <w:rtl/>
        </w:rPr>
      </w:pPr>
      <w:r>
        <w:rPr>
          <w:rFonts w:hint="cs"/>
          <w:rtl/>
        </w:rPr>
        <w:t xml:space="preserve">מעורבותן של נשים בחיים הכלכליים עברה שינויים מפליגים בעשרות השנים האחרונות. נבחן האם וכיצד שינויים אלה משפיעים על מעמד נכסי הנדל"ן שברשות בני הזוג. </w:t>
      </w:r>
    </w:p>
    <w:p w14:paraId="5F6CD7F6" w14:textId="0D770127" w:rsidR="00140EB0" w:rsidRDefault="00140EB0" w:rsidP="00E76D1D">
      <w:pPr>
        <w:pStyle w:val="-a"/>
        <w:rPr>
          <w:rtl/>
        </w:rPr>
      </w:pPr>
      <w:r w:rsidRPr="00F2768A">
        <w:rPr>
          <w:rtl/>
        </w:rPr>
        <w:t>החיובים של האישה לבעלה מדאורייתא אינם חיובים ממוניים, ויש לה עצמאות כלכלית.</w:t>
      </w:r>
      <w:r w:rsidR="0048705A">
        <w:rPr>
          <w:rFonts w:hint="cs"/>
          <w:rtl/>
        </w:rPr>
        <w:t xml:space="preserve"> מכיוון שבעבר רוב מוחלט של הנשים לא יכלו לכלכל את עצמן,</w:t>
      </w:r>
      <w:r>
        <w:rPr>
          <w:rFonts w:hint="cs"/>
          <w:rtl/>
        </w:rPr>
        <w:t xml:space="preserve"> ראו חז"ל צורך לתקן תקנות שמטרתן להבטיח את רווחתה ושלומה של אישה נשואה</w:t>
      </w:r>
      <w:r w:rsidR="0048705A">
        <w:rPr>
          <w:rFonts w:hint="cs"/>
          <w:rtl/>
        </w:rPr>
        <w:t xml:space="preserve"> (כתובות </w:t>
      </w:r>
      <w:proofErr w:type="spellStart"/>
      <w:r w:rsidR="0048705A">
        <w:rPr>
          <w:rFonts w:hint="cs"/>
          <w:rtl/>
        </w:rPr>
        <w:t>מז,ב</w:t>
      </w:r>
      <w:proofErr w:type="spellEnd"/>
      <w:r w:rsidR="0048705A">
        <w:rPr>
          <w:rFonts w:hint="cs"/>
          <w:rtl/>
        </w:rPr>
        <w:t>)</w:t>
      </w:r>
      <w:r>
        <w:rPr>
          <w:rFonts w:hint="cs"/>
          <w:rtl/>
        </w:rPr>
        <w:t>:</w:t>
      </w:r>
    </w:p>
    <w:p w14:paraId="6DA5D38D" w14:textId="4E9CDB0C" w:rsidR="00140EB0" w:rsidRPr="00990163" w:rsidRDefault="00140EB0" w:rsidP="00990163">
      <w:pPr>
        <w:pStyle w:val="afe"/>
        <w:rPr>
          <w:rStyle w:val="aff"/>
          <w:rtl/>
        </w:rPr>
      </w:pPr>
      <w:r w:rsidRPr="00CD678E">
        <w:rPr>
          <w:rtl/>
        </w:rPr>
        <w:t>תיקנו מזונותיה תחת מעשה ידיה</w:t>
      </w:r>
      <w:r>
        <w:rPr>
          <w:rFonts w:hint="cs"/>
          <w:rtl/>
        </w:rPr>
        <w:t>,</w:t>
      </w:r>
      <w:r w:rsidRPr="00CD678E">
        <w:rPr>
          <w:rtl/>
        </w:rPr>
        <w:t xml:space="preserve"> </w:t>
      </w:r>
      <w:proofErr w:type="spellStart"/>
      <w:r w:rsidRPr="00CD678E">
        <w:rPr>
          <w:rtl/>
        </w:rPr>
        <w:t>ופירקונה</w:t>
      </w:r>
      <w:proofErr w:type="spellEnd"/>
      <w:r w:rsidRPr="00CD678E">
        <w:rPr>
          <w:rtl/>
        </w:rPr>
        <w:t xml:space="preserve"> תחת פירות</w:t>
      </w:r>
      <w:r>
        <w:rPr>
          <w:rFonts w:hint="cs"/>
          <w:rtl/>
        </w:rPr>
        <w:t>,</w:t>
      </w:r>
      <w:r w:rsidRPr="00CD678E">
        <w:rPr>
          <w:rtl/>
        </w:rPr>
        <w:t xml:space="preserve"> וקבורתה תחת כתובתה</w:t>
      </w:r>
      <w:r>
        <w:rPr>
          <w:rFonts w:hint="cs"/>
          <w:rtl/>
        </w:rPr>
        <w:t>,</w:t>
      </w:r>
      <w:r w:rsidRPr="00CD678E">
        <w:rPr>
          <w:rtl/>
        </w:rPr>
        <w:t xml:space="preserve"> לפיכך בעל אוכל פירות.</w:t>
      </w:r>
      <w:r w:rsidR="009C4C57">
        <w:rPr>
          <w:rStyle w:val="ac"/>
          <w:rFonts w:ascii="David" w:hAnsi="David"/>
          <w:sz w:val="24"/>
          <w:rtl/>
        </w:rPr>
        <w:footnoteReference w:id="6"/>
      </w:r>
    </w:p>
    <w:p w14:paraId="0DB1CA9A" w14:textId="74D9141B" w:rsidR="00140EB0" w:rsidRDefault="00140EB0" w:rsidP="00990163">
      <w:pPr>
        <w:rPr>
          <w:rtl/>
        </w:rPr>
      </w:pPr>
      <w:r>
        <w:rPr>
          <w:rFonts w:hint="cs"/>
          <w:rtl/>
        </w:rPr>
        <w:t>אלה הן התקנות העיקריות הנוגעות ליחסי ממון בין בני הזוג בלשון ימינו:</w:t>
      </w:r>
    </w:p>
    <w:p w14:paraId="78B62B84" w14:textId="3C99EB2D" w:rsidR="00140EB0" w:rsidRDefault="00164E53" w:rsidP="00164E53">
      <w:pPr>
        <w:pStyle w:val="7"/>
      </w:pPr>
      <w:r>
        <w:rPr>
          <w:rFonts w:hint="cs"/>
          <w:rtl/>
        </w:rPr>
        <w:t>1.</w:t>
      </w:r>
      <w:r>
        <w:rPr>
          <w:rtl/>
        </w:rPr>
        <w:tab/>
      </w:r>
      <w:r w:rsidR="00140EB0">
        <w:rPr>
          <w:rFonts w:hint="cs"/>
          <w:rtl/>
        </w:rPr>
        <w:t xml:space="preserve">שכר העבודה של אישה יהיה שייך לבעלה (מעשה ידיה), ובתמורה היא זכאית לקבל ממנו מזון וביגוד (מזונותיה). </w:t>
      </w:r>
      <w:r w:rsidR="009C4C57">
        <w:rPr>
          <w:rFonts w:hint="cs"/>
          <w:rtl/>
        </w:rPr>
        <w:t>אמנם להלכה (</w:t>
      </w:r>
      <w:proofErr w:type="spellStart"/>
      <w:r w:rsidR="009C4C57">
        <w:rPr>
          <w:rFonts w:hint="cs"/>
          <w:rtl/>
        </w:rPr>
        <w:t>שו"ע</w:t>
      </w:r>
      <w:proofErr w:type="spellEnd"/>
      <w:r w:rsidR="009C4C57">
        <w:rPr>
          <w:rFonts w:hint="cs"/>
          <w:rtl/>
        </w:rPr>
        <w:t xml:space="preserve"> </w:t>
      </w:r>
      <w:proofErr w:type="spellStart"/>
      <w:r w:rsidR="009C4C57">
        <w:rPr>
          <w:rFonts w:hint="cs"/>
          <w:rtl/>
        </w:rPr>
        <w:t>אה"ע</w:t>
      </w:r>
      <w:proofErr w:type="spellEnd"/>
      <w:r w:rsidR="009C4C57">
        <w:rPr>
          <w:rFonts w:hint="cs"/>
          <w:rtl/>
        </w:rPr>
        <w:t xml:space="preserve"> </w:t>
      </w:r>
      <w:proofErr w:type="spellStart"/>
      <w:r w:rsidR="009C4C57">
        <w:rPr>
          <w:rFonts w:hint="cs"/>
          <w:rtl/>
        </w:rPr>
        <w:t>סט,ד</w:t>
      </w:r>
      <w:proofErr w:type="spellEnd"/>
      <w:r w:rsidR="009C4C57">
        <w:rPr>
          <w:rFonts w:hint="cs"/>
          <w:rtl/>
        </w:rPr>
        <w:t xml:space="preserve">) </w:t>
      </w:r>
      <w:r w:rsidR="00140EB0">
        <w:rPr>
          <w:rFonts w:hint="cs"/>
          <w:rtl/>
        </w:rPr>
        <w:t>האישה רשאית לוותר על שני חלקי התקנה</w:t>
      </w:r>
      <w:r w:rsidR="009C4C57">
        <w:rPr>
          <w:rFonts w:hint="cs"/>
          <w:rtl/>
        </w:rPr>
        <w:t>,</w:t>
      </w:r>
      <w:r w:rsidR="00140EB0">
        <w:rPr>
          <w:rFonts w:hint="cs"/>
          <w:rtl/>
        </w:rPr>
        <w:t xml:space="preserve"> אם תאמר: 'איני </w:t>
      </w:r>
      <w:proofErr w:type="spellStart"/>
      <w:r w:rsidR="00140EB0">
        <w:rPr>
          <w:rFonts w:hint="cs"/>
          <w:rtl/>
        </w:rPr>
        <w:t>ניזונת</w:t>
      </w:r>
      <w:proofErr w:type="spellEnd"/>
      <w:r w:rsidR="00140EB0">
        <w:rPr>
          <w:rFonts w:hint="cs"/>
          <w:rtl/>
        </w:rPr>
        <w:t xml:space="preserve"> ואיני עושה</w:t>
      </w:r>
      <w:r w:rsidR="00140EB0" w:rsidRPr="00607E6C">
        <w:rPr>
          <w:rFonts w:hint="cs"/>
          <w:rtl/>
        </w:rPr>
        <w:t>'</w:t>
      </w:r>
      <w:r w:rsidR="00140EB0">
        <w:rPr>
          <w:rFonts w:hint="cs"/>
          <w:rtl/>
        </w:rPr>
        <w:t>.</w:t>
      </w:r>
      <w:r w:rsidR="00140EB0">
        <w:rPr>
          <w:rStyle w:val="ac"/>
          <w:rFonts w:ascii="David" w:hAnsi="David"/>
          <w:sz w:val="24"/>
          <w:rtl/>
        </w:rPr>
        <w:footnoteReference w:id="7"/>
      </w:r>
      <w:r w:rsidR="00140EB0">
        <w:rPr>
          <w:rFonts w:hint="cs"/>
          <w:rtl/>
        </w:rPr>
        <w:t xml:space="preserve"> </w:t>
      </w:r>
    </w:p>
    <w:p w14:paraId="7FB06248" w14:textId="09F541CF" w:rsidR="00140EB0" w:rsidRDefault="00164E53" w:rsidP="00164E53">
      <w:pPr>
        <w:pStyle w:val="7"/>
      </w:pPr>
      <w:r>
        <w:rPr>
          <w:rFonts w:hint="cs"/>
          <w:rtl/>
        </w:rPr>
        <w:t>2.</w:t>
      </w:r>
      <w:r>
        <w:rPr>
          <w:rtl/>
        </w:rPr>
        <w:tab/>
      </w:r>
      <w:r w:rsidR="00140EB0">
        <w:rPr>
          <w:rFonts w:hint="cs"/>
          <w:rtl/>
        </w:rPr>
        <w:t>הבעל חייב לפדות את אשתו מהשבי (</w:t>
      </w:r>
      <w:proofErr w:type="spellStart"/>
      <w:r w:rsidR="00140EB0">
        <w:rPr>
          <w:rFonts w:hint="cs"/>
          <w:rtl/>
        </w:rPr>
        <w:t>פרקונה</w:t>
      </w:r>
      <w:proofErr w:type="spellEnd"/>
      <w:r w:rsidR="00140EB0">
        <w:rPr>
          <w:rFonts w:hint="cs"/>
          <w:rtl/>
        </w:rPr>
        <w:t>), בתמורה לכך שהוא מקבל את הפירות (רווחים) מנכסי מלוג (נכסים השייכים לאישה</w:t>
      </w:r>
      <w:r w:rsidR="009C4C57">
        <w:rPr>
          <w:rFonts w:hint="cs"/>
          <w:rtl/>
        </w:rPr>
        <w:t xml:space="preserve">, ראו </w:t>
      </w:r>
      <w:proofErr w:type="spellStart"/>
      <w:r w:rsidR="009C4C57">
        <w:rPr>
          <w:rFonts w:hint="cs"/>
          <w:rtl/>
        </w:rPr>
        <w:t>שו"ע</w:t>
      </w:r>
      <w:proofErr w:type="spellEnd"/>
      <w:r w:rsidR="009C4C57">
        <w:rPr>
          <w:rFonts w:hint="cs"/>
          <w:rtl/>
        </w:rPr>
        <w:t xml:space="preserve"> </w:t>
      </w:r>
      <w:proofErr w:type="spellStart"/>
      <w:r w:rsidR="009C4C57">
        <w:rPr>
          <w:rFonts w:hint="cs"/>
          <w:rtl/>
        </w:rPr>
        <w:t>שם,ה</w:t>
      </w:r>
      <w:proofErr w:type="spellEnd"/>
      <w:r w:rsidR="00140EB0">
        <w:rPr>
          <w:rFonts w:hint="cs"/>
          <w:rtl/>
        </w:rPr>
        <w:t xml:space="preserve">). </w:t>
      </w:r>
    </w:p>
    <w:p w14:paraId="2CB763C3" w14:textId="70A69239" w:rsidR="00140EB0" w:rsidRDefault="00164E53" w:rsidP="00164E53">
      <w:pPr>
        <w:pStyle w:val="7"/>
      </w:pPr>
      <w:r>
        <w:rPr>
          <w:rFonts w:hint="cs"/>
          <w:rtl/>
        </w:rPr>
        <w:t>3.</w:t>
      </w:r>
      <w:r>
        <w:rPr>
          <w:rtl/>
        </w:rPr>
        <w:tab/>
      </w:r>
      <w:r w:rsidR="00140EB0">
        <w:rPr>
          <w:rFonts w:hint="cs"/>
          <w:rtl/>
        </w:rPr>
        <w:t>הבעל חייב לממן את קבורת אשתו בתמורה לכך שהוא יורש את נכסי צאן הברזל (נכסים שהביאה עמה למשק הבית) ואשר ערכם נרשם כחוב על הבעל המיועד לפירעון במקרה של גירושין או אלמנות</w:t>
      </w:r>
      <w:r w:rsidR="009C4C57">
        <w:rPr>
          <w:rFonts w:hint="cs"/>
          <w:rtl/>
        </w:rPr>
        <w:t xml:space="preserve"> (ראו </w:t>
      </w:r>
      <w:proofErr w:type="spellStart"/>
      <w:r w:rsidR="009C4C57">
        <w:rPr>
          <w:rFonts w:hint="cs"/>
          <w:rtl/>
        </w:rPr>
        <w:t>שו"ע</w:t>
      </w:r>
      <w:proofErr w:type="spellEnd"/>
      <w:r w:rsidR="009C4C57">
        <w:rPr>
          <w:rFonts w:hint="cs"/>
          <w:rtl/>
        </w:rPr>
        <w:t xml:space="preserve"> שם פט)</w:t>
      </w:r>
      <w:r w:rsidR="00140EB0">
        <w:rPr>
          <w:rFonts w:hint="cs"/>
          <w:rtl/>
        </w:rPr>
        <w:t xml:space="preserve">. </w:t>
      </w:r>
    </w:p>
    <w:p w14:paraId="127AF035" w14:textId="1F5628A2" w:rsidR="00140EB0" w:rsidRDefault="00164E53" w:rsidP="00164E53">
      <w:pPr>
        <w:pStyle w:val="7"/>
      </w:pPr>
      <w:r>
        <w:rPr>
          <w:rFonts w:hint="cs"/>
          <w:rtl/>
        </w:rPr>
        <w:t>4.</w:t>
      </w:r>
      <w:r>
        <w:rPr>
          <w:rtl/>
        </w:rPr>
        <w:tab/>
      </w:r>
      <w:r w:rsidR="009C4C57">
        <w:rPr>
          <w:rFonts w:hint="cs"/>
          <w:rtl/>
        </w:rPr>
        <w:t xml:space="preserve">בנוסף, </w:t>
      </w:r>
      <w:r w:rsidR="00140EB0">
        <w:rPr>
          <w:rFonts w:hint="cs"/>
          <w:rtl/>
        </w:rPr>
        <w:t xml:space="preserve">על פי תקנת </w:t>
      </w:r>
      <w:proofErr w:type="spellStart"/>
      <w:r w:rsidR="00140EB0">
        <w:rPr>
          <w:rFonts w:hint="cs"/>
          <w:rtl/>
        </w:rPr>
        <w:t>אושא</w:t>
      </w:r>
      <w:proofErr w:type="spellEnd"/>
      <w:r w:rsidR="009C4C57">
        <w:rPr>
          <w:rFonts w:hint="cs"/>
          <w:rtl/>
        </w:rPr>
        <w:t xml:space="preserve"> (</w:t>
      </w:r>
      <w:proofErr w:type="spellStart"/>
      <w:r w:rsidR="009C4C57">
        <w:rPr>
          <w:rFonts w:hint="cs"/>
          <w:rtl/>
        </w:rPr>
        <w:t>שו"ע</w:t>
      </w:r>
      <w:proofErr w:type="spellEnd"/>
      <w:r w:rsidR="009C4C57">
        <w:rPr>
          <w:rFonts w:hint="cs"/>
          <w:rtl/>
        </w:rPr>
        <w:t xml:space="preserve"> שם </w:t>
      </w:r>
      <w:proofErr w:type="spellStart"/>
      <w:r w:rsidR="009C4C57">
        <w:rPr>
          <w:rFonts w:hint="cs"/>
          <w:rtl/>
        </w:rPr>
        <w:t>צ,ט</w:t>
      </w:r>
      <w:proofErr w:type="spellEnd"/>
      <w:r w:rsidR="009C4C57">
        <w:rPr>
          <w:rFonts w:hint="cs"/>
          <w:rtl/>
        </w:rPr>
        <w:t>)</w:t>
      </w:r>
      <w:r w:rsidR="00140EB0">
        <w:rPr>
          <w:rFonts w:hint="cs"/>
          <w:rtl/>
        </w:rPr>
        <w:t>, אישה שמכרה את נכסי המלוג שברשותה ונפטרה, לבעלה זכות לבטל את העסקה</w:t>
      </w:r>
      <w:r w:rsidR="009C4C57">
        <w:rPr>
          <w:rFonts w:hint="cs"/>
          <w:rtl/>
        </w:rPr>
        <w:t>,</w:t>
      </w:r>
      <w:r w:rsidR="00140EB0">
        <w:rPr>
          <w:rFonts w:hint="cs"/>
          <w:rtl/>
        </w:rPr>
        <w:t xml:space="preserve"> ועליו להחזיר לקונה את מה ששילם.</w:t>
      </w:r>
    </w:p>
    <w:p w14:paraId="115DD5DB" w14:textId="3905A510" w:rsidR="00140EB0" w:rsidRPr="00287836" w:rsidRDefault="00140EB0" w:rsidP="00140EB0">
      <w:pPr>
        <w:pStyle w:val="4"/>
      </w:pPr>
      <w:bookmarkStart w:id="15" w:name="_Toc145602392"/>
      <w:bookmarkStart w:id="16" w:name="_Toc146058263"/>
      <w:bookmarkStart w:id="17" w:name="_Toc168268741"/>
      <w:bookmarkStart w:id="18" w:name="_Toc168327346"/>
      <w:r>
        <w:rPr>
          <w:rFonts w:hint="cs"/>
          <w:rtl/>
        </w:rPr>
        <w:t>ד. הזכות על נכסים שנקנו משכר עבודה</w:t>
      </w:r>
      <w:bookmarkEnd w:id="15"/>
      <w:bookmarkEnd w:id="16"/>
      <w:bookmarkEnd w:id="17"/>
      <w:bookmarkEnd w:id="18"/>
    </w:p>
    <w:p w14:paraId="57E1F9AA" w14:textId="25BC42B5" w:rsidR="00140EB0" w:rsidRDefault="00140EB0" w:rsidP="00990163">
      <w:pPr>
        <w:rPr>
          <w:rtl/>
        </w:rPr>
      </w:pPr>
      <w:r>
        <w:rPr>
          <w:rFonts w:hint="cs"/>
          <w:rtl/>
        </w:rPr>
        <w:t>נפתח בדיון בעניין מעמדם של נכסים שנקנו משכר העבודה של שני בני הזוג</w:t>
      </w:r>
      <w:r w:rsidR="009C4C57">
        <w:rPr>
          <w:rFonts w:hint="cs"/>
          <w:rtl/>
        </w:rPr>
        <w:t>,</w:t>
      </w:r>
      <w:r>
        <w:rPr>
          <w:rFonts w:hint="cs"/>
          <w:rtl/>
        </w:rPr>
        <w:t xml:space="preserve"> ולאחר מכן נדון בנכסים שנקנו משכר עבודתה של האישה.</w:t>
      </w:r>
    </w:p>
    <w:p w14:paraId="1333D710" w14:textId="3EF59C1E" w:rsidR="00140EB0" w:rsidRDefault="00140EB0" w:rsidP="00140EB0">
      <w:pPr>
        <w:pStyle w:val="5"/>
        <w:rPr>
          <w:rtl/>
        </w:rPr>
      </w:pPr>
      <w:bookmarkStart w:id="19" w:name="_Toc145602393"/>
      <w:bookmarkStart w:id="20" w:name="_Toc146058264"/>
      <w:bookmarkStart w:id="21" w:name="_Toc168268742"/>
      <w:bookmarkStart w:id="22" w:name="_Toc168327347"/>
      <w:r>
        <w:rPr>
          <w:rFonts w:hint="cs"/>
          <w:rtl/>
        </w:rPr>
        <w:t>1. נכסים הרשומים על שם הבעל והאישה</w:t>
      </w:r>
      <w:bookmarkEnd w:id="19"/>
      <w:bookmarkEnd w:id="20"/>
      <w:bookmarkEnd w:id="21"/>
      <w:bookmarkEnd w:id="22"/>
    </w:p>
    <w:p w14:paraId="46CE2E4B" w14:textId="03458BE6" w:rsidR="00140EB0" w:rsidRPr="00777D39" w:rsidRDefault="00140EB0" w:rsidP="00E76D1D">
      <w:pPr>
        <w:pStyle w:val="-a"/>
        <w:rPr>
          <w:rtl/>
        </w:rPr>
      </w:pPr>
      <w:r>
        <w:rPr>
          <w:rFonts w:hint="cs"/>
          <w:rtl/>
        </w:rPr>
        <w:t xml:space="preserve">העמדה המקובלת כיום בבתי הדין הרבניים היא שהאישה שותפה בנכסים שנרשמו במפורש על שמה ועל שם בעלה בשותפות, כגון, הדירה המשותפת וחשבון הבנק המשותף, </w:t>
      </w:r>
      <w:r w:rsidRPr="00F2768A">
        <w:rPr>
          <w:rtl/>
        </w:rPr>
        <w:t>הן אם הדירה המשותפת נקנתה גם בכספה וכספי החשבון כוללים גם את כספי עבודתה</w:t>
      </w:r>
      <w:r w:rsidR="009C4C57">
        <w:rPr>
          <w:rFonts w:hint="cs"/>
          <w:rtl/>
        </w:rPr>
        <w:t>,</w:t>
      </w:r>
      <w:r w:rsidRPr="00F2768A">
        <w:rPr>
          <w:rtl/>
        </w:rPr>
        <w:t xml:space="preserve"> הן אם נקנתה בכסף השייך </w:t>
      </w:r>
      <w:r w:rsidR="009C4C57">
        <w:rPr>
          <w:rFonts w:hint="cs"/>
          <w:rtl/>
        </w:rPr>
        <w:t xml:space="preserve">רק </w:t>
      </w:r>
      <w:r w:rsidRPr="00F2768A">
        <w:rPr>
          <w:rtl/>
        </w:rPr>
        <w:t>לבעל</w:t>
      </w:r>
      <w:r w:rsidRPr="00777D39">
        <w:rPr>
          <w:rFonts w:hint="cs"/>
          <w:rtl/>
        </w:rPr>
        <w:t>.</w:t>
      </w:r>
      <w:r w:rsidRPr="00777D39">
        <w:rPr>
          <w:rStyle w:val="ac"/>
          <w:rFonts w:ascii="David" w:hAnsi="David"/>
          <w:sz w:val="24"/>
          <w:rtl/>
        </w:rPr>
        <w:footnoteReference w:id="8"/>
      </w:r>
      <w:r w:rsidRPr="00777D39">
        <w:rPr>
          <w:rFonts w:hint="cs"/>
          <w:rtl/>
        </w:rPr>
        <w:t xml:space="preserve"> כך כבר קבע </w:t>
      </w:r>
      <w:r w:rsidR="009C4C57">
        <w:rPr>
          <w:rFonts w:hint="cs"/>
          <w:rtl/>
        </w:rPr>
        <w:t xml:space="preserve">שו"ת </w:t>
      </w:r>
      <w:proofErr w:type="spellStart"/>
      <w:r w:rsidRPr="00777D39">
        <w:rPr>
          <w:rFonts w:hint="cs"/>
          <w:rtl/>
        </w:rPr>
        <w:t>הרא"ש</w:t>
      </w:r>
      <w:proofErr w:type="spellEnd"/>
      <w:r w:rsidR="009C4C57">
        <w:rPr>
          <w:rFonts w:hint="cs"/>
          <w:rtl/>
        </w:rPr>
        <w:t xml:space="preserve"> (כלל </w:t>
      </w:r>
      <w:proofErr w:type="spellStart"/>
      <w:r w:rsidR="009C4C57">
        <w:rPr>
          <w:rFonts w:hint="cs"/>
          <w:rtl/>
        </w:rPr>
        <w:t>צו</w:t>
      </w:r>
      <w:r w:rsidR="00DE0964">
        <w:rPr>
          <w:rFonts w:hint="cs"/>
          <w:rtl/>
        </w:rPr>
        <w:t>,</w:t>
      </w:r>
      <w:r w:rsidR="009C4C57">
        <w:rPr>
          <w:rFonts w:hint="cs"/>
          <w:rtl/>
        </w:rPr>
        <w:t>ד</w:t>
      </w:r>
      <w:proofErr w:type="spellEnd"/>
      <w:r w:rsidR="009C4C57">
        <w:rPr>
          <w:rFonts w:hint="cs"/>
          <w:rtl/>
        </w:rPr>
        <w:t>)</w:t>
      </w:r>
      <w:r w:rsidRPr="00777D39">
        <w:rPr>
          <w:rFonts w:hint="cs"/>
          <w:rtl/>
        </w:rPr>
        <w:t xml:space="preserve"> לגבי דירה שנרשמה במשותף על שם שני בני הזוג (ובזמנו את הרכישה בפועל ביצע בדרך כלל האיש):</w:t>
      </w:r>
    </w:p>
    <w:p w14:paraId="6ED2D6E6" w14:textId="58ED175A" w:rsidR="00140EB0" w:rsidRDefault="00140EB0" w:rsidP="00164E53">
      <w:pPr>
        <w:pStyle w:val="afe"/>
        <w:rPr>
          <w:rFonts w:ascii="David" w:hAnsi="David"/>
          <w:sz w:val="24"/>
          <w:rtl/>
        </w:rPr>
      </w:pPr>
      <w:r w:rsidRPr="00777D39">
        <w:rPr>
          <w:rFonts w:ascii="David" w:hAnsi="David"/>
          <w:sz w:val="24"/>
          <w:rtl/>
        </w:rPr>
        <w:t>י</w:t>
      </w:r>
      <w:r w:rsidR="009C4C57">
        <w:rPr>
          <w:rFonts w:ascii="David" w:hAnsi="David" w:hint="cs"/>
          <w:sz w:val="24"/>
          <w:rtl/>
        </w:rPr>
        <w:t>י</w:t>
      </w:r>
      <w:r w:rsidRPr="00777D39">
        <w:rPr>
          <w:rFonts w:ascii="David" w:hAnsi="David"/>
          <w:sz w:val="24"/>
          <w:rtl/>
        </w:rPr>
        <w:t xml:space="preserve">ראה שכל הקרקעות שקנה בעלה והשטרות </w:t>
      </w:r>
      <w:proofErr w:type="spellStart"/>
      <w:r w:rsidRPr="00777D39">
        <w:rPr>
          <w:rFonts w:ascii="David" w:hAnsi="David"/>
          <w:sz w:val="24"/>
          <w:rtl/>
        </w:rPr>
        <w:t>כתובין</w:t>
      </w:r>
      <w:proofErr w:type="spellEnd"/>
      <w:r w:rsidRPr="00777D39">
        <w:rPr>
          <w:rFonts w:ascii="David" w:hAnsi="David"/>
          <w:sz w:val="24"/>
          <w:rtl/>
        </w:rPr>
        <w:t xml:space="preserve"> גם בשם האישה</w:t>
      </w:r>
      <w:r w:rsidR="009C4C57">
        <w:rPr>
          <w:rFonts w:ascii="David" w:hAnsi="David" w:hint="cs"/>
          <w:sz w:val="24"/>
          <w:rtl/>
        </w:rPr>
        <w:t>,</w:t>
      </w:r>
      <w:r w:rsidRPr="00777D39">
        <w:rPr>
          <w:rFonts w:ascii="David" w:hAnsi="David"/>
          <w:sz w:val="24"/>
          <w:rtl/>
        </w:rPr>
        <w:t xml:space="preserve"> שהקרקעות</w:t>
      </w:r>
      <w:r w:rsidRPr="00777D39">
        <w:rPr>
          <w:rFonts w:ascii="David" w:hAnsi="David" w:hint="cs"/>
          <w:sz w:val="24"/>
          <w:rtl/>
        </w:rPr>
        <w:t xml:space="preserve"> </w:t>
      </w:r>
      <w:r w:rsidRPr="00777D39">
        <w:rPr>
          <w:rFonts w:ascii="David" w:hAnsi="David"/>
          <w:sz w:val="24"/>
          <w:rtl/>
        </w:rPr>
        <w:t>חצי</w:t>
      </w:r>
      <w:r w:rsidR="009C4C57">
        <w:rPr>
          <w:rFonts w:ascii="David" w:hAnsi="David" w:hint="cs"/>
          <w:sz w:val="24"/>
          <w:rtl/>
        </w:rPr>
        <w:t>י</w:t>
      </w:r>
      <w:r w:rsidRPr="00777D39">
        <w:rPr>
          <w:rFonts w:ascii="David" w:hAnsi="David"/>
          <w:sz w:val="24"/>
          <w:rtl/>
        </w:rPr>
        <w:t>ם שלה</w:t>
      </w:r>
      <w:r w:rsidRPr="00777D39">
        <w:rPr>
          <w:rFonts w:ascii="David" w:hAnsi="David" w:hint="cs"/>
          <w:sz w:val="24"/>
          <w:rtl/>
        </w:rPr>
        <w:t>.</w:t>
      </w:r>
      <w:r w:rsidRPr="00777D39">
        <w:rPr>
          <w:rFonts w:ascii="David" w:hAnsi="David"/>
          <w:sz w:val="24"/>
          <w:rtl/>
        </w:rPr>
        <w:t xml:space="preserve"> כי אדם הקונה קרקע אין דרך שיכתוב את אשתו בשטר הקנאה</w:t>
      </w:r>
      <w:r w:rsidR="009C4C57">
        <w:rPr>
          <w:rFonts w:ascii="David" w:hAnsi="David" w:hint="cs"/>
          <w:sz w:val="24"/>
          <w:rtl/>
        </w:rPr>
        <w:t>,</w:t>
      </w:r>
      <w:r w:rsidRPr="00777D39">
        <w:rPr>
          <w:rFonts w:ascii="David" w:hAnsi="David"/>
          <w:sz w:val="24"/>
          <w:rtl/>
        </w:rPr>
        <w:t xml:space="preserve"> וזה</w:t>
      </w:r>
      <w:r w:rsidRPr="00777D39">
        <w:rPr>
          <w:rFonts w:ascii="David" w:hAnsi="David" w:hint="cs"/>
          <w:sz w:val="24"/>
          <w:rtl/>
        </w:rPr>
        <w:t xml:space="preserve"> </w:t>
      </w:r>
      <w:r w:rsidRPr="00777D39">
        <w:rPr>
          <w:rFonts w:ascii="David" w:hAnsi="David"/>
          <w:sz w:val="24"/>
          <w:rtl/>
        </w:rPr>
        <w:t xml:space="preserve">שכתב שם אשתו </w:t>
      </w:r>
      <w:proofErr w:type="spellStart"/>
      <w:r w:rsidRPr="00777D39">
        <w:rPr>
          <w:rFonts w:ascii="David" w:hAnsi="David"/>
          <w:sz w:val="24"/>
          <w:rtl/>
        </w:rPr>
        <w:t>ניכרין</w:t>
      </w:r>
      <w:proofErr w:type="spellEnd"/>
      <w:r w:rsidRPr="00777D39">
        <w:rPr>
          <w:rFonts w:ascii="David" w:hAnsi="David"/>
          <w:sz w:val="24"/>
          <w:rtl/>
        </w:rPr>
        <w:t xml:space="preserve"> הדברים שחצי דמי הקרקע הן משלה</w:t>
      </w:r>
      <w:r w:rsidRPr="00777D39">
        <w:rPr>
          <w:rFonts w:ascii="David" w:hAnsi="David" w:hint="cs"/>
          <w:sz w:val="24"/>
          <w:rtl/>
        </w:rPr>
        <w:t>.</w:t>
      </w:r>
      <w:r w:rsidR="009C4C57" w:rsidRPr="00777D39">
        <w:rPr>
          <w:rStyle w:val="ac"/>
          <w:rFonts w:ascii="David" w:hAnsi="David"/>
          <w:sz w:val="24"/>
          <w:rtl/>
        </w:rPr>
        <w:footnoteReference w:id="9"/>
      </w:r>
    </w:p>
    <w:p w14:paraId="298B25B9" w14:textId="7FCCECE4" w:rsidR="00140EB0" w:rsidRDefault="00140EB0" w:rsidP="00990163">
      <w:pPr>
        <w:rPr>
          <w:rtl/>
        </w:rPr>
      </w:pPr>
      <w:r>
        <w:rPr>
          <w:rFonts w:hint="cs"/>
          <w:rtl/>
        </w:rPr>
        <w:lastRenderedPageBreak/>
        <w:t xml:space="preserve">כלומר, </w:t>
      </w:r>
      <w:proofErr w:type="spellStart"/>
      <w:r>
        <w:rPr>
          <w:rFonts w:hint="cs"/>
          <w:rtl/>
        </w:rPr>
        <w:t>הרא"ש</w:t>
      </w:r>
      <w:proofErr w:type="spellEnd"/>
      <w:r>
        <w:rPr>
          <w:rFonts w:hint="cs"/>
          <w:rtl/>
        </w:rPr>
        <w:t xml:space="preserve"> מגדיר שהבעלות נקבעת על פי הרישום, ללא קשר למקור הכספים (במקרה הנזכר בתשובה הקרקעות נרכשו גם מכספים שהביאה עמה האישה מבית אביה). </w:t>
      </w:r>
      <w:r w:rsidR="00C93C4E" w:rsidDel="00C93C4E">
        <w:rPr>
          <w:rFonts w:hint="cs"/>
          <w:rtl/>
        </w:rPr>
        <w:t xml:space="preserve"> </w:t>
      </w:r>
    </w:p>
    <w:p w14:paraId="5A3300E6" w14:textId="326F2A24" w:rsidR="00140EB0" w:rsidRDefault="00140EB0" w:rsidP="00990163">
      <w:pPr>
        <w:rPr>
          <w:rtl/>
        </w:rPr>
      </w:pPr>
      <w:r>
        <w:rPr>
          <w:rFonts w:hint="cs"/>
          <w:rtl/>
        </w:rPr>
        <w:t>על פי דברים אלו, דירה שנרשמה על שמם של שני בני הזוג</w:t>
      </w:r>
      <w:r w:rsidR="00C46868">
        <w:rPr>
          <w:rFonts w:hint="cs"/>
          <w:rtl/>
        </w:rPr>
        <w:t>,</w:t>
      </w:r>
      <w:r>
        <w:rPr>
          <w:rFonts w:hint="cs"/>
          <w:rtl/>
        </w:rPr>
        <w:t xml:space="preserve"> שייכת לשניהם. ממילא, כל מחלוקת הנוגעת לדירה כזו מחייבת חתימה של שני בני הזוג על הסכם הבוררות. גם אם הדירה הושכרה</w:t>
      </w:r>
      <w:r w:rsidR="00C46868">
        <w:rPr>
          <w:rFonts w:hint="cs"/>
          <w:rtl/>
        </w:rPr>
        <w:t>,</w:t>
      </w:r>
      <w:r>
        <w:rPr>
          <w:rFonts w:hint="cs"/>
          <w:rtl/>
        </w:rPr>
        <w:t xml:space="preserve"> ועל הסכם השכירות חתם (בדרך כלל מטעמי נוחות) רק אחד מבני הזוג. קל וחומר כאשר דמי השכירות מופקדים בח</w:t>
      </w:r>
      <w:r w:rsidRPr="00777D39">
        <w:rPr>
          <w:rFonts w:hint="cs"/>
          <w:rtl/>
        </w:rPr>
        <w:t xml:space="preserve">שבון המשותף (דיון מפורט לגבי זכות בני הזוג לדמי השכירות במקרים השונים </w:t>
      </w:r>
      <w:r w:rsidR="00C46868">
        <w:rPr>
          <w:rFonts w:hint="cs"/>
          <w:rtl/>
        </w:rPr>
        <w:t>יובא</w:t>
      </w:r>
      <w:r w:rsidRPr="00777D39">
        <w:rPr>
          <w:rFonts w:hint="cs"/>
          <w:rtl/>
        </w:rPr>
        <w:t xml:space="preserve"> להלן</w:t>
      </w:r>
      <w:r w:rsidR="00C46868">
        <w:rPr>
          <w:rFonts w:hint="cs"/>
          <w:rtl/>
        </w:rPr>
        <w:t>)</w:t>
      </w:r>
      <w:r w:rsidRPr="00777D39">
        <w:rPr>
          <w:rFonts w:hint="cs"/>
          <w:rtl/>
        </w:rPr>
        <w:t>.</w:t>
      </w:r>
    </w:p>
    <w:p w14:paraId="71B65776" w14:textId="2AE1D9F5" w:rsidR="00140EB0" w:rsidRDefault="00140EB0" w:rsidP="00140EB0">
      <w:pPr>
        <w:pStyle w:val="5"/>
        <w:rPr>
          <w:rtl/>
        </w:rPr>
      </w:pPr>
      <w:bookmarkStart w:id="23" w:name="_Toc145602394"/>
      <w:bookmarkStart w:id="24" w:name="_Toc146058265"/>
      <w:bookmarkStart w:id="25" w:name="_Toc168268743"/>
      <w:bookmarkStart w:id="26" w:name="_Toc168327348"/>
      <w:r>
        <w:rPr>
          <w:rFonts w:hint="cs"/>
          <w:rtl/>
        </w:rPr>
        <w:t xml:space="preserve">2. נכסים שנרשמו על שם אחד מבני </w:t>
      </w:r>
      <w:r w:rsidRPr="00D3281E">
        <w:rPr>
          <w:rFonts w:hint="cs"/>
          <w:rtl/>
        </w:rPr>
        <w:t>הזוג</w:t>
      </w:r>
      <w:bookmarkEnd w:id="23"/>
      <w:bookmarkEnd w:id="24"/>
      <w:bookmarkEnd w:id="25"/>
      <w:bookmarkEnd w:id="26"/>
    </w:p>
    <w:p w14:paraId="7B4636E2" w14:textId="0C36F9F4" w:rsidR="00140EB0" w:rsidRDefault="00140EB0" w:rsidP="00990163">
      <w:r>
        <w:rPr>
          <w:rFonts w:hint="cs"/>
          <w:rtl/>
        </w:rPr>
        <w:t>מה הדין כ</w:t>
      </w:r>
      <w:r w:rsidR="00C46868">
        <w:rPr>
          <w:rFonts w:hint="cs"/>
          <w:rtl/>
        </w:rPr>
        <w:t>ש</w:t>
      </w:r>
      <w:r>
        <w:rPr>
          <w:rFonts w:hint="cs"/>
          <w:rtl/>
        </w:rPr>
        <w:t xml:space="preserve">הדירה נקנתה מכספי החשבון המשותף </w:t>
      </w:r>
      <w:r w:rsidRPr="00B41104">
        <w:rPr>
          <w:rFonts w:hint="cs"/>
          <w:b/>
          <w:bCs/>
          <w:rtl/>
        </w:rPr>
        <w:t>ונרשמה על שם אחד מבני הזוג</w:t>
      </w:r>
      <w:r>
        <w:rPr>
          <w:rFonts w:hint="cs"/>
          <w:rtl/>
        </w:rPr>
        <w:t xml:space="preserve">? </w:t>
      </w:r>
    </w:p>
    <w:p w14:paraId="4FB48765" w14:textId="0ACED577" w:rsidR="00140EB0" w:rsidRDefault="00140EB0" w:rsidP="00140EB0">
      <w:pPr>
        <w:rPr>
          <w:rtl/>
        </w:rPr>
      </w:pPr>
      <w:r>
        <w:rPr>
          <w:rFonts w:hint="cs"/>
          <w:rtl/>
        </w:rPr>
        <w:t>אמנם על פניו הדירה רשומה על שמו של אחד מבני הזוג ולכן נמצאת בבעלותו, על פי מנהג המדינה שהוכר על ידי פוסקים רבים</w:t>
      </w:r>
      <w:r w:rsidR="00C46868">
        <w:rPr>
          <w:rFonts w:hint="cs"/>
          <w:rtl/>
        </w:rPr>
        <w:t xml:space="preserve"> (ראו להלן),</w:t>
      </w:r>
      <w:r>
        <w:rPr>
          <w:rFonts w:hint="cs"/>
          <w:rtl/>
        </w:rPr>
        <w:t xml:space="preserve"> שהרישום בטאבו הוא הקובע את הבעלות. אולם, כפי שראינו, פסיקת בתי המשפט מעניקה זכות קניינית לשני בני הזוג כאשר הם גרים בדירה. לכן</w:t>
      </w:r>
      <w:r w:rsidR="00C46868">
        <w:rPr>
          <w:rFonts w:hint="cs"/>
          <w:rtl/>
        </w:rPr>
        <w:t>, כששני בני הזוג גרים בדירה,</w:t>
      </w:r>
      <w:r>
        <w:rPr>
          <w:rFonts w:hint="cs"/>
          <w:rtl/>
        </w:rPr>
        <w:t xml:space="preserve"> נראה שהדין הפשוט </w:t>
      </w:r>
      <w:r w:rsidR="00C93C4E">
        <w:rPr>
          <w:rFonts w:hint="cs"/>
          <w:rtl/>
        </w:rPr>
        <w:t xml:space="preserve">הוא </w:t>
      </w:r>
      <w:r>
        <w:rPr>
          <w:rFonts w:hint="cs"/>
          <w:rtl/>
        </w:rPr>
        <w:t>שהבעלות נקבעת על יסוד הרכישה בשותפות מכספי החשבון המשותף</w:t>
      </w:r>
      <w:r w:rsidR="00C46868">
        <w:rPr>
          <w:rFonts w:hint="cs"/>
          <w:rtl/>
        </w:rPr>
        <w:t>,</w:t>
      </w:r>
      <w:r>
        <w:rPr>
          <w:rFonts w:hint="cs"/>
          <w:rtl/>
        </w:rPr>
        <w:t xml:space="preserve"> ויהיה צורך בחתימת שני בני הזוג על הסכם הבוררות. </w:t>
      </w:r>
    </w:p>
    <w:p w14:paraId="5BBAFAF1" w14:textId="1A69BB2F" w:rsidR="00140EB0" w:rsidRDefault="00140EB0" w:rsidP="00990163">
      <w:pPr>
        <w:rPr>
          <w:rtl/>
        </w:rPr>
      </w:pPr>
      <w:r>
        <w:rPr>
          <w:rFonts w:hint="cs"/>
          <w:rtl/>
        </w:rPr>
        <w:t>לעומת זאת</w:t>
      </w:r>
      <w:r w:rsidR="00C46868">
        <w:rPr>
          <w:rFonts w:hint="cs"/>
          <w:rtl/>
        </w:rPr>
        <w:t>,</w:t>
      </w:r>
      <w:r>
        <w:rPr>
          <w:rFonts w:hint="cs"/>
          <w:rtl/>
        </w:rPr>
        <w:t xml:space="preserve"> </w:t>
      </w:r>
      <w:r w:rsidR="00C46868">
        <w:rPr>
          <w:rFonts w:hint="cs"/>
          <w:rtl/>
        </w:rPr>
        <w:t>אם הדירה מיועדת להשכרה</w:t>
      </w:r>
      <w:r>
        <w:rPr>
          <w:rFonts w:hint="cs"/>
          <w:rtl/>
        </w:rPr>
        <w:t xml:space="preserve">, לכאורה רישום הבעלות על שם </w:t>
      </w:r>
      <w:r w:rsidR="00C46868">
        <w:rPr>
          <w:rFonts w:hint="cs"/>
          <w:rtl/>
        </w:rPr>
        <w:t>אחד מבני הזוג</w:t>
      </w:r>
      <w:r>
        <w:rPr>
          <w:rFonts w:hint="cs"/>
          <w:rtl/>
        </w:rPr>
        <w:t xml:space="preserve"> מוכיח </w:t>
      </w:r>
      <w:r w:rsidR="00C46868">
        <w:rPr>
          <w:rFonts w:hint="cs"/>
          <w:rtl/>
        </w:rPr>
        <w:t>ש</w:t>
      </w:r>
      <w:r>
        <w:rPr>
          <w:rFonts w:hint="cs"/>
          <w:rtl/>
        </w:rPr>
        <w:t>בן הזוג השני ויתר על זכותו הקניינית בנכס</w:t>
      </w:r>
      <w:r w:rsidR="00C46868">
        <w:rPr>
          <w:rFonts w:hint="cs"/>
          <w:rtl/>
        </w:rPr>
        <w:t>.</w:t>
      </w:r>
      <w:r>
        <w:rPr>
          <w:rFonts w:hint="cs"/>
          <w:rtl/>
        </w:rPr>
        <w:t xml:space="preserve"> אך לא תמיד הדבר כך</w:t>
      </w:r>
      <w:r w:rsidR="00C46868">
        <w:rPr>
          <w:rFonts w:hint="cs"/>
          <w:rtl/>
        </w:rPr>
        <w:t xml:space="preserve">, </w:t>
      </w:r>
      <w:r>
        <w:rPr>
          <w:rFonts w:hint="cs"/>
          <w:rtl/>
        </w:rPr>
        <w:t xml:space="preserve">לעיתים הרישום נעשה משיקולי מס וכדומה, ובני הזוג רואים עצמם כשותפים שווים בנכס. </w:t>
      </w:r>
    </w:p>
    <w:p w14:paraId="2F39D3CE" w14:textId="4B4AD296" w:rsidR="00140EB0" w:rsidRDefault="00140EB0" w:rsidP="00990163">
      <w:pPr>
        <w:rPr>
          <w:rtl/>
        </w:rPr>
      </w:pPr>
      <w:r>
        <w:rPr>
          <w:rFonts w:hint="cs"/>
          <w:rtl/>
        </w:rPr>
        <w:t>סעיף 7(א) לחוק המקרקעין</w:t>
      </w:r>
      <w:r w:rsidR="00C46868">
        <w:rPr>
          <w:rFonts w:hint="cs"/>
          <w:rtl/>
        </w:rPr>
        <w:t xml:space="preserve"> (</w:t>
      </w:r>
      <w:r>
        <w:rPr>
          <w:rFonts w:hint="cs"/>
          <w:rtl/>
        </w:rPr>
        <w:t>תשכ"ט-1969</w:t>
      </w:r>
      <w:r w:rsidR="00C46868">
        <w:rPr>
          <w:rFonts w:hint="cs"/>
          <w:rtl/>
        </w:rPr>
        <w:t xml:space="preserve">) </w:t>
      </w:r>
      <w:r>
        <w:rPr>
          <w:rFonts w:hint="cs"/>
          <w:rtl/>
        </w:rPr>
        <w:t>קובע כי עסקת מקרקעין טעונה רישום, והרישום הוא הקובע בנוגע לשאלת הבעלות בנכס. הפוסקים נחלקו בנוגע למעמדה ההלכתי של קביעה זו בחוק. חלקם ראו בה גורם מכריע בהכרעה על שאלת הבעלות בנכס מכוח '</w:t>
      </w:r>
      <w:proofErr w:type="spellStart"/>
      <w:r>
        <w:rPr>
          <w:rFonts w:hint="cs"/>
          <w:rtl/>
        </w:rPr>
        <w:t>דינא</w:t>
      </w:r>
      <w:proofErr w:type="spellEnd"/>
      <w:r>
        <w:rPr>
          <w:rFonts w:hint="cs"/>
          <w:rtl/>
        </w:rPr>
        <w:t xml:space="preserve"> </w:t>
      </w:r>
      <w:proofErr w:type="spellStart"/>
      <w:r>
        <w:rPr>
          <w:rFonts w:hint="cs"/>
          <w:rtl/>
        </w:rPr>
        <w:t>דמלכותא</w:t>
      </w:r>
      <w:proofErr w:type="spellEnd"/>
      <w:r>
        <w:rPr>
          <w:rFonts w:hint="cs"/>
          <w:rtl/>
        </w:rPr>
        <w:t xml:space="preserve"> </w:t>
      </w:r>
      <w:proofErr w:type="spellStart"/>
      <w:r>
        <w:rPr>
          <w:rFonts w:hint="cs"/>
          <w:rtl/>
        </w:rPr>
        <w:t>דינא</w:t>
      </w:r>
      <w:proofErr w:type="spellEnd"/>
      <w:r>
        <w:rPr>
          <w:rFonts w:hint="cs"/>
          <w:rtl/>
        </w:rPr>
        <w:t>' ומנהג הסוחרים ('</w:t>
      </w:r>
      <w:proofErr w:type="spellStart"/>
      <w:r>
        <w:rPr>
          <w:rFonts w:hint="cs"/>
          <w:rtl/>
        </w:rPr>
        <w:t>סיטומתא</w:t>
      </w:r>
      <w:proofErr w:type="spellEnd"/>
      <w:r>
        <w:rPr>
          <w:rFonts w:hint="cs"/>
          <w:rtl/>
        </w:rPr>
        <w:t>'). חלקם סברו שאין בה כדי להכריע את שאלת הבעלות במקום בו יש מחלוקת בין הצדדים, או שברור כי הבעלות בפועל שייכת למי שאינו רשום.</w:t>
      </w:r>
      <w:r>
        <w:rPr>
          <w:rStyle w:val="ac"/>
          <w:rtl/>
        </w:rPr>
        <w:footnoteReference w:id="10"/>
      </w:r>
      <w:r>
        <w:rPr>
          <w:rFonts w:hint="cs"/>
          <w:rtl/>
        </w:rPr>
        <w:t xml:space="preserve"> לכן, </w:t>
      </w:r>
      <w:r w:rsidR="00C46868">
        <w:rPr>
          <w:rFonts w:hint="cs"/>
          <w:rtl/>
        </w:rPr>
        <w:t>כדי</w:t>
      </w:r>
      <w:r>
        <w:rPr>
          <w:rFonts w:hint="cs"/>
          <w:rtl/>
        </w:rPr>
        <w:t xml:space="preserve"> למנוע מחלוקות וטענות עתידיות</w:t>
      </w:r>
      <w:r w:rsidR="00C46868">
        <w:rPr>
          <w:rFonts w:hint="cs"/>
          <w:rtl/>
        </w:rPr>
        <w:t>,</w:t>
      </w:r>
      <w:r>
        <w:rPr>
          <w:rFonts w:hint="cs"/>
          <w:rtl/>
        </w:rPr>
        <w:t xml:space="preserve"> נראה </w:t>
      </w:r>
      <w:r w:rsidR="00C46868">
        <w:rPr>
          <w:rFonts w:hint="cs"/>
          <w:rtl/>
        </w:rPr>
        <w:t>ש</w:t>
      </w:r>
      <w:r>
        <w:rPr>
          <w:rFonts w:hint="cs"/>
          <w:rtl/>
        </w:rPr>
        <w:t xml:space="preserve">במקרה זה על בית הדין לברר האם לאיש או לאישה שאינם רשומים בנכס יש טענה לגבי בעלותם כלפיו.  </w:t>
      </w:r>
    </w:p>
    <w:p w14:paraId="587F6106" w14:textId="7D7BD55A" w:rsidR="00140EB0" w:rsidRDefault="00140EB0" w:rsidP="00990163">
      <w:pPr>
        <w:rPr>
          <w:rtl/>
        </w:rPr>
      </w:pPr>
      <w:r>
        <w:rPr>
          <w:rFonts w:hint="cs"/>
          <w:rtl/>
        </w:rPr>
        <w:t xml:space="preserve">אם מתברר </w:t>
      </w:r>
      <w:r w:rsidR="008A5BB2">
        <w:rPr>
          <w:rFonts w:hint="cs"/>
          <w:rtl/>
        </w:rPr>
        <w:t>ש</w:t>
      </w:r>
      <w:r>
        <w:rPr>
          <w:rFonts w:hint="cs"/>
          <w:rtl/>
        </w:rPr>
        <w:t xml:space="preserve">הדירה נקנתה מכסף משותף ופירותיה מגיעים לחשבון המשותף, נראה שיש בכך ראיה לכוונתם שהיא תהיה נכס משותף, והרישום על שם אחד מהם היה ככל הנראה למראית עין בלבד. </w:t>
      </w:r>
      <w:r w:rsidR="008A5BB2">
        <w:rPr>
          <w:rFonts w:hint="cs"/>
          <w:rtl/>
        </w:rPr>
        <w:t>לכן</w:t>
      </w:r>
      <w:r>
        <w:rPr>
          <w:rFonts w:hint="cs"/>
          <w:rtl/>
        </w:rPr>
        <w:t xml:space="preserve"> נראה שיהיה צורך בחתימת שני בני הזוג על הסכם בוררות. </w:t>
      </w:r>
    </w:p>
    <w:p w14:paraId="29B9FF31" w14:textId="078A5044" w:rsidR="00140EB0" w:rsidRDefault="00140EB0" w:rsidP="00990163">
      <w:pPr>
        <w:rPr>
          <w:rtl/>
        </w:rPr>
      </w:pPr>
      <w:r>
        <w:rPr>
          <w:rFonts w:hint="cs"/>
          <w:rtl/>
        </w:rPr>
        <w:t xml:space="preserve">בתי המשפט לא קבעו מסמרות, מתי זכותו של נושה תגבר על חלקו של בן הזוג הלא-רשום בנכס מקרקעין שאינו דירת מגורים. ככלל, הם נוטים להעדיף את הוודאות הכלכלית המחלקת באופן חד בין דירת מגורים לבין דירה לצורך 'עסקי'. לפיכך הם לא מטילים על הנושה את החובה לבדוק את מצב הנכס לאשורו </w:t>
      </w:r>
      <w:r w:rsidR="00990163">
        <w:rPr>
          <w:rtl/>
        </w:rPr>
        <w:t>-</w:t>
      </w:r>
      <w:r>
        <w:rPr>
          <w:rFonts w:hint="cs"/>
          <w:rtl/>
        </w:rPr>
        <w:t xml:space="preserve"> האם נקנה במאמץ משותף של בני הזוג, האם בן הזוג הלא רשום מעורב בניהול הנכס וכדו'. </w:t>
      </w:r>
    </w:p>
    <w:p w14:paraId="5F7FD6BC" w14:textId="2EC6FA7D" w:rsidR="00140EB0" w:rsidRDefault="008A5BB2" w:rsidP="00990163">
      <w:pPr>
        <w:rPr>
          <w:rtl/>
        </w:rPr>
      </w:pPr>
      <w:r>
        <w:rPr>
          <w:rFonts w:hint="cs"/>
          <w:rtl/>
        </w:rPr>
        <w:lastRenderedPageBreak/>
        <w:t>עם</w:t>
      </w:r>
      <w:r w:rsidR="00140EB0">
        <w:rPr>
          <w:rFonts w:hint="cs"/>
          <w:rtl/>
        </w:rPr>
        <w:t xml:space="preserve"> זאת הם קבעו כי</w:t>
      </w:r>
      <w:r>
        <w:rPr>
          <w:rFonts w:hint="cs"/>
          <w:rtl/>
        </w:rPr>
        <w:t>:</w:t>
      </w:r>
      <w:r w:rsidR="00140EB0">
        <w:rPr>
          <w:rFonts w:hint="cs"/>
          <w:rtl/>
        </w:rPr>
        <w:t xml:space="preserve"> "</w:t>
      </w:r>
      <w:r w:rsidR="00140EB0">
        <w:rPr>
          <w:rtl/>
        </w:rPr>
        <w:t>דין דומה לזה החל על דירת המגורים, יחול על</w:t>
      </w:r>
      <w:r w:rsidR="00140EB0">
        <w:rPr>
          <w:rFonts w:hint="cs"/>
          <w:rtl/>
        </w:rPr>
        <w:t xml:space="preserve"> </w:t>
      </w:r>
      <w:r w:rsidR="00140EB0">
        <w:rPr>
          <w:rtl/>
        </w:rPr>
        <w:t>נכסים מרכזיים אחרים של בני הזוג שיש להם השפעה ניכרת, כלכלית ורגשית, על הנישואי</w:t>
      </w:r>
      <w:r w:rsidR="00140EB0">
        <w:rPr>
          <w:rFonts w:hint="cs"/>
          <w:rtl/>
        </w:rPr>
        <w:t>ם".</w:t>
      </w:r>
      <w:r w:rsidR="00140EB0">
        <w:rPr>
          <w:rStyle w:val="ac"/>
          <w:rtl/>
        </w:rPr>
        <w:footnoteReference w:id="11"/>
      </w:r>
      <w:r w:rsidR="00140EB0">
        <w:rPr>
          <w:rFonts w:hint="cs"/>
          <w:rtl/>
        </w:rPr>
        <w:t xml:space="preserve"> מכאן שייתכן כי נכס שברור שנרכש במאמץ משותף של בני הזוג</w:t>
      </w:r>
      <w:r>
        <w:rPr>
          <w:rFonts w:hint="cs"/>
          <w:rtl/>
        </w:rPr>
        <w:t>,</w:t>
      </w:r>
      <w:r w:rsidR="00140EB0">
        <w:rPr>
          <w:rFonts w:hint="cs"/>
          <w:rtl/>
        </w:rPr>
        <w:t xml:space="preserve"> והרווחים בגינו הולכים לחשבון המשותף, הוא בכלל הנכסים שבני הזוג מתכוונים להיות שותפים בהם, או לכל הפחות לשתף את זכות הניהול של הנכס.</w:t>
      </w:r>
      <w:r>
        <w:rPr>
          <w:rFonts w:hint="cs"/>
          <w:rtl/>
        </w:rPr>
        <w:t xml:space="preserve"> אך במקרה שבו דמי השכירות מגיעים לחשבון השייך לבן הזוג שהנכס רשום על שמו, ייתכן שיש בכך אינדיקציה לכוונה להקנות את הנכס לבן הזוג הרשום בלבד (על אף שהוא נקנה מכספם של שני בני הזוג), ולכן לא יהיה צורך בחתימתו של בן הזוג השני על הסכם הבוררות.  </w:t>
      </w:r>
    </w:p>
    <w:p w14:paraId="1B3F2A95" w14:textId="5CA4E415" w:rsidR="00140EB0" w:rsidRDefault="00140EB0" w:rsidP="00140EB0">
      <w:pPr>
        <w:pStyle w:val="5"/>
        <w:rPr>
          <w:rtl/>
        </w:rPr>
      </w:pPr>
      <w:bookmarkStart w:id="27" w:name="_Toc145602395"/>
      <w:bookmarkStart w:id="28" w:name="_Toc146058266"/>
      <w:bookmarkStart w:id="29" w:name="_Toc168268744"/>
      <w:bookmarkStart w:id="30" w:name="_Toc168327349"/>
      <w:r>
        <w:rPr>
          <w:rFonts w:hint="cs"/>
          <w:rtl/>
        </w:rPr>
        <w:t>3. נכסים שנקנו מכספי שכר עבודתה של האישה</w:t>
      </w:r>
      <w:bookmarkEnd w:id="27"/>
      <w:bookmarkEnd w:id="28"/>
      <w:bookmarkEnd w:id="29"/>
      <w:bookmarkEnd w:id="30"/>
    </w:p>
    <w:p w14:paraId="6151487B" w14:textId="56279596" w:rsidR="00140EB0" w:rsidRDefault="00140EB0" w:rsidP="00140EB0">
      <w:pPr>
        <w:rPr>
          <w:rtl/>
        </w:rPr>
      </w:pPr>
      <w:r>
        <w:rPr>
          <w:rFonts w:hint="cs"/>
          <w:rtl/>
        </w:rPr>
        <w:t xml:space="preserve">עסקנו בנכס שנקנה מכספי החשבון המשותף </w:t>
      </w:r>
      <w:r w:rsidR="00990163">
        <w:rPr>
          <w:rtl/>
        </w:rPr>
        <w:t>-</w:t>
      </w:r>
      <w:r>
        <w:rPr>
          <w:rFonts w:hint="cs"/>
          <w:rtl/>
        </w:rPr>
        <w:t xml:space="preserve"> מה הדין במקרה בו בני הזוג מנהלים חשבונות נפרדים והאישה קנתה דירה מכספה שלה ורשמה אותה על שמה? </w:t>
      </w:r>
    </w:p>
    <w:p w14:paraId="065672ED" w14:textId="1C48201E" w:rsidR="00140EB0" w:rsidRDefault="00140EB0" w:rsidP="00140EB0">
      <w:pPr>
        <w:rPr>
          <w:rtl/>
        </w:rPr>
      </w:pPr>
      <w:r>
        <w:rPr>
          <w:rFonts w:hint="cs"/>
          <w:rtl/>
        </w:rPr>
        <w:t xml:space="preserve">כאמור, </w:t>
      </w:r>
      <w:r w:rsidRPr="00990163">
        <w:rPr>
          <w:rStyle w:val="aff"/>
          <w:rFonts w:hint="cs"/>
          <w:rtl/>
        </w:rPr>
        <w:t>אישה יכולה לוותר על תקנת מעשיה ידיה תחת מזונותיה ולומר</w:t>
      </w:r>
      <w:r w:rsidR="008A5BB2">
        <w:rPr>
          <w:rStyle w:val="aff"/>
          <w:rFonts w:hint="cs"/>
          <w:rtl/>
        </w:rPr>
        <w:t>:</w:t>
      </w:r>
      <w:r w:rsidRPr="00990163">
        <w:rPr>
          <w:rStyle w:val="aff"/>
          <w:rFonts w:hint="cs"/>
          <w:rtl/>
        </w:rPr>
        <w:t xml:space="preserve"> </w:t>
      </w:r>
      <w:r w:rsidR="008A5BB2">
        <w:rPr>
          <w:rStyle w:val="aff"/>
          <w:rFonts w:hint="cs"/>
          <w:rtl/>
        </w:rPr>
        <w:t>"</w:t>
      </w:r>
      <w:r w:rsidRPr="00990163">
        <w:rPr>
          <w:rStyle w:val="aff"/>
          <w:rFonts w:hint="cs"/>
          <w:rtl/>
        </w:rPr>
        <w:t xml:space="preserve">איני </w:t>
      </w:r>
      <w:proofErr w:type="spellStart"/>
      <w:r w:rsidRPr="00990163">
        <w:rPr>
          <w:rStyle w:val="aff"/>
          <w:rFonts w:hint="cs"/>
          <w:rtl/>
        </w:rPr>
        <w:t>ניזונת</w:t>
      </w:r>
      <w:proofErr w:type="spellEnd"/>
      <w:r w:rsidRPr="00990163">
        <w:rPr>
          <w:rStyle w:val="aff"/>
          <w:rFonts w:hint="cs"/>
          <w:rtl/>
        </w:rPr>
        <w:t xml:space="preserve"> ואיני עושה</w:t>
      </w:r>
      <w:r w:rsidR="008A5BB2">
        <w:rPr>
          <w:rStyle w:val="aff"/>
          <w:rFonts w:hint="cs"/>
          <w:rtl/>
        </w:rPr>
        <w:t xml:space="preserve">" (כתובות </w:t>
      </w:r>
      <w:proofErr w:type="spellStart"/>
      <w:r w:rsidR="008A5BB2">
        <w:rPr>
          <w:rStyle w:val="aff"/>
          <w:rFonts w:hint="cs"/>
          <w:rtl/>
        </w:rPr>
        <w:t>מז,ב</w:t>
      </w:r>
      <w:proofErr w:type="spellEnd"/>
      <w:r w:rsidR="008A5BB2">
        <w:rPr>
          <w:rStyle w:val="aff"/>
          <w:rFonts w:hint="cs"/>
          <w:rtl/>
        </w:rPr>
        <w:t>)</w:t>
      </w:r>
      <w:r w:rsidRPr="00990163">
        <w:rPr>
          <w:rStyle w:val="aff"/>
          <w:rFonts w:hint="cs"/>
          <w:rtl/>
        </w:rPr>
        <w:t xml:space="preserve">. השאלה היא אם יש צורך באמירה מפורשת, או שמא די בהסכמה משוערת, על סמך מנהג המדינה הרווח. חוק שיווי זכויות האישה וחוק יחסי ממון </w:t>
      </w:r>
      <w:r>
        <w:rPr>
          <w:rFonts w:hint="cs"/>
          <w:rtl/>
        </w:rPr>
        <w:t xml:space="preserve">קובעים כאמור כי לאישה זכות קניינית בנכסיה. על סמך חוקים אלה המהווים מנהג המדינה, ניתן להניח שכאשר יש הפרדה בין חשבונות הבנק של שני בני הזוג הרי שיש כאן ויתור מכללא של האישה על התקנה. לכן, אם האישה קנתה נכס מהכסף הנמצא בחשבונה ורשמה אותו על שמה בלבד, הדירה תהיה שלה בלבד. </w:t>
      </w:r>
      <w:r w:rsidR="005E4083">
        <w:rPr>
          <w:rFonts w:hint="cs"/>
          <w:rtl/>
        </w:rPr>
        <w:t xml:space="preserve">אמנם גם במקרה כזה לכאורה הדירה נחשבת ל'נכסי מלוג' שיש לבעל זכויות בהם, וכפי שכתבו תוספות (יבמות </w:t>
      </w:r>
      <w:proofErr w:type="spellStart"/>
      <w:r w:rsidR="005E4083">
        <w:rPr>
          <w:rFonts w:hint="cs"/>
          <w:rtl/>
        </w:rPr>
        <w:t>צג,א</w:t>
      </w:r>
      <w:proofErr w:type="spellEnd"/>
      <w:r w:rsidR="005E4083">
        <w:rPr>
          <w:rFonts w:hint="cs"/>
          <w:rtl/>
        </w:rPr>
        <w:t xml:space="preserve"> ד"ה 'ר' עקיבא'). בזכויות אלו, וביחס לנידון שלנו, נדון בפרק הבא.</w:t>
      </w:r>
      <w:r>
        <w:rPr>
          <w:rFonts w:hint="cs"/>
          <w:rtl/>
        </w:rPr>
        <w:t xml:space="preserve"> </w:t>
      </w:r>
    </w:p>
    <w:p w14:paraId="3D839237" w14:textId="0ABC5DD1" w:rsidR="00140EB0" w:rsidRDefault="005E4083" w:rsidP="00140EB0">
      <w:pPr>
        <w:rPr>
          <w:rtl/>
        </w:rPr>
      </w:pPr>
      <w:r>
        <w:rPr>
          <w:rFonts w:hint="cs"/>
          <w:rtl/>
        </w:rPr>
        <w:t xml:space="preserve">מכל מקום, </w:t>
      </w:r>
      <w:r w:rsidR="00140EB0">
        <w:rPr>
          <w:rFonts w:hint="cs"/>
          <w:rtl/>
        </w:rPr>
        <w:t>במקרה שדירה כזו משמשת את שני בני הזוג, הרי שגם אם היא רשומה על שם האישה, פסיקת בתי המשפט כאמור, מניחה קיומה של זכות קניינית לאיש בנכס זה. לכן גם במקרה זה נראה שתידרש חתימת הבעל על הסכם הבוררות ומעורבותו בדיון בפני בית הדין לממונות בכל הנוגע לדירה ולטיפול בה.</w:t>
      </w:r>
    </w:p>
    <w:p w14:paraId="6DC224B4" w14:textId="0E053E09" w:rsidR="00140EB0" w:rsidRDefault="00140EB0" w:rsidP="00140EB0">
      <w:pPr>
        <w:pStyle w:val="4"/>
        <w:rPr>
          <w:rtl/>
        </w:rPr>
      </w:pPr>
      <w:bookmarkStart w:id="31" w:name="_Toc145602396"/>
      <w:bookmarkStart w:id="32" w:name="_Toc146058267"/>
      <w:bookmarkStart w:id="33" w:name="_Toc168268745"/>
      <w:bookmarkStart w:id="34" w:name="_Toc168327350"/>
      <w:r>
        <w:rPr>
          <w:rFonts w:hint="cs"/>
          <w:rtl/>
        </w:rPr>
        <w:t xml:space="preserve">ה. </w:t>
      </w:r>
      <w:r w:rsidRPr="002C69DC">
        <w:rPr>
          <w:rFonts w:hint="cs"/>
          <w:rtl/>
        </w:rPr>
        <w:t>דירה ש</w:t>
      </w:r>
      <w:r>
        <w:rPr>
          <w:rFonts w:hint="cs"/>
          <w:rtl/>
        </w:rPr>
        <w:t xml:space="preserve">הייתה בבעלות </w:t>
      </w:r>
      <w:r w:rsidRPr="002C69DC">
        <w:rPr>
          <w:rFonts w:hint="cs"/>
          <w:rtl/>
        </w:rPr>
        <w:t xml:space="preserve">האישה לפני הנישואין </w:t>
      </w:r>
      <w:r>
        <w:rPr>
          <w:rFonts w:hint="cs"/>
          <w:rtl/>
        </w:rPr>
        <w:t xml:space="preserve">או </w:t>
      </w:r>
      <w:r w:rsidRPr="002C69DC">
        <w:rPr>
          <w:rFonts w:hint="cs"/>
          <w:rtl/>
        </w:rPr>
        <w:t>נ</w:t>
      </w:r>
      <w:r>
        <w:rPr>
          <w:rFonts w:hint="cs"/>
          <w:rtl/>
        </w:rPr>
        <w:t>י</w:t>
      </w:r>
      <w:r w:rsidRPr="002C69DC">
        <w:rPr>
          <w:rFonts w:hint="cs"/>
          <w:rtl/>
        </w:rPr>
        <w:t xml:space="preserve">תנה לה </w:t>
      </w:r>
      <w:r>
        <w:rPr>
          <w:rFonts w:hint="cs"/>
          <w:rtl/>
        </w:rPr>
        <w:t>במהלכם</w:t>
      </w:r>
      <w:bookmarkEnd w:id="31"/>
      <w:bookmarkEnd w:id="32"/>
      <w:bookmarkEnd w:id="33"/>
      <w:bookmarkEnd w:id="34"/>
      <w:r>
        <w:rPr>
          <w:rFonts w:hint="cs"/>
          <w:rtl/>
        </w:rPr>
        <w:t xml:space="preserve"> </w:t>
      </w:r>
    </w:p>
    <w:p w14:paraId="4C0701E7" w14:textId="1027FA82" w:rsidR="00140EB0" w:rsidRPr="00F324DC" w:rsidRDefault="00140EB0" w:rsidP="00140EB0">
      <w:pPr>
        <w:rPr>
          <w:rtl/>
        </w:rPr>
      </w:pPr>
      <w:r>
        <w:rPr>
          <w:rFonts w:hint="cs"/>
          <w:rtl/>
        </w:rPr>
        <w:t xml:space="preserve">עד כה עסקנו בדירה שנקנתה במהלך הנישואין מהכנסות שוטפות של שני בני הזוג </w:t>
      </w:r>
      <w:r w:rsidR="001703B7">
        <w:rPr>
          <w:rFonts w:hint="cs"/>
          <w:rtl/>
        </w:rPr>
        <w:t>על פי</w:t>
      </w:r>
      <w:r>
        <w:rPr>
          <w:rFonts w:hint="cs"/>
          <w:rtl/>
        </w:rPr>
        <w:t xml:space="preserve"> תקנת 'מעשה ידיה תחת מזונותי</w:t>
      </w:r>
      <w:r w:rsidR="001703B7">
        <w:rPr>
          <w:rFonts w:hint="cs"/>
          <w:rtl/>
        </w:rPr>
        <w:t>ה'</w:t>
      </w:r>
      <w:r>
        <w:rPr>
          <w:rFonts w:hint="cs"/>
          <w:rtl/>
        </w:rPr>
        <w:t xml:space="preserve">. כעת נעסוק בדירה שהייתה בבעלות האישה לפני הנישואין, או שהאישה קיבלה אותה, במתנה או בירושה, במהלך הנישואין. </w:t>
      </w:r>
    </w:p>
    <w:p w14:paraId="43E0E624" w14:textId="7EDC3DF0" w:rsidR="00140EB0" w:rsidRDefault="00140EB0" w:rsidP="00990163">
      <w:pPr>
        <w:rPr>
          <w:rtl/>
        </w:rPr>
      </w:pPr>
      <w:r>
        <w:rPr>
          <w:rFonts w:hint="cs"/>
          <w:rtl/>
        </w:rPr>
        <w:t>דירה כזו מוגדרת כ'</w:t>
      </w:r>
      <w:r w:rsidRPr="00CD678E">
        <w:rPr>
          <w:rFonts w:hint="cs"/>
          <w:rtl/>
        </w:rPr>
        <w:t>נכס</w:t>
      </w:r>
      <w:r>
        <w:rPr>
          <w:rFonts w:hint="cs"/>
          <w:rtl/>
        </w:rPr>
        <w:t>י</w:t>
      </w:r>
      <w:r w:rsidRPr="00CD678E">
        <w:rPr>
          <w:rFonts w:hint="cs"/>
          <w:rtl/>
        </w:rPr>
        <w:t xml:space="preserve"> מלוג</w:t>
      </w:r>
      <w:r>
        <w:rPr>
          <w:rFonts w:hint="cs"/>
          <w:rtl/>
        </w:rPr>
        <w:t xml:space="preserve">' </w:t>
      </w:r>
      <w:r w:rsidR="00990163">
        <w:rPr>
          <w:rtl/>
        </w:rPr>
        <w:t>-</w:t>
      </w:r>
      <w:r>
        <w:rPr>
          <w:rFonts w:hint="cs"/>
          <w:rtl/>
        </w:rPr>
        <w:t xml:space="preserve"> כלומר נכסים השייכים לאישה בלבד. נכסים אלה </w:t>
      </w:r>
      <w:r w:rsidRPr="00CD678E">
        <w:rPr>
          <w:rFonts w:hint="cs"/>
          <w:rtl/>
        </w:rPr>
        <w:t>מובחנים מנכסים שבני הזוג צברו במשותף במהלך הנישואין או מנכסים בבעלות הבעל. בעבר נכסים בבעלות האישה היו בעיקר כאלה שהיא ק</w:t>
      </w:r>
      <w:r>
        <w:rPr>
          <w:rFonts w:hint="cs"/>
          <w:rtl/>
        </w:rPr>
        <w:t>י</w:t>
      </w:r>
      <w:r w:rsidRPr="00CD678E">
        <w:rPr>
          <w:rFonts w:hint="cs"/>
          <w:rtl/>
        </w:rPr>
        <w:t>בלה מבית אביה טרם נישואיה, או כאלה שנ</w:t>
      </w:r>
      <w:r>
        <w:rPr>
          <w:rFonts w:hint="cs"/>
          <w:rtl/>
        </w:rPr>
        <w:t>י</w:t>
      </w:r>
      <w:r w:rsidRPr="00CD678E">
        <w:rPr>
          <w:rFonts w:hint="cs"/>
          <w:rtl/>
        </w:rPr>
        <w:t>תנו לה בירושה או במתנה גם תוך כדי נ</w:t>
      </w:r>
      <w:r>
        <w:rPr>
          <w:rFonts w:hint="cs"/>
          <w:rtl/>
        </w:rPr>
        <w:t>י</w:t>
      </w:r>
      <w:r w:rsidRPr="00CD678E">
        <w:rPr>
          <w:rFonts w:hint="cs"/>
          <w:rtl/>
        </w:rPr>
        <w:t>שואיה</w:t>
      </w:r>
      <w:r>
        <w:rPr>
          <w:rFonts w:hint="cs"/>
          <w:rtl/>
        </w:rPr>
        <w:t>.</w:t>
      </w:r>
      <w:r w:rsidRPr="00CD678E">
        <w:rPr>
          <w:rFonts w:hint="cs"/>
          <w:rtl/>
        </w:rPr>
        <w:t xml:space="preserve"> אולם כיום </w:t>
      </w:r>
      <w:r>
        <w:rPr>
          <w:rFonts w:hint="cs"/>
          <w:rtl/>
        </w:rPr>
        <w:t xml:space="preserve">רווחת יותר </w:t>
      </w:r>
      <w:proofErr w:type="spellStart"/>
      <w:r>
        <w:rPr>
          <w:rFonts w:hint="cs"/>
          <w:rtl/>
        </w:rPr>
        <w:t>מבעבר</w:t>
      </w:r>
      <w:proofErr w:type="spellEnd"/>
      <w:r>
        <w:rPr>
          <w:rFonts w:hint="cs"/>
          <w:rtl/>
        </w:rPr>
        <w:t xml:space="preserve"> מציאות של נישואין בגיל מאוחר, וכן נישואין שניים ('פרק ב') שבמסגרתם כל אחד מבני הזוג הוא בעל נכסים שנרכשו משכר עבודתו עוד לפני הנישואין ושומר על בעלותו הנפרדת על נכסיו.</w:t>
      </w:r>
      <w:r>
        <w:rPr>
          <w:rStyle w:val="ac"/>
          <w:rFonts w:ascii="David" w:hAnsi="David"/>
          <w:sz w:val="24"/>
          <w:rtl/>
        </w:rPr>
        <w:footnoteReference w:id="12"/>
      </w:r>
      <w:r>
        <w:rPr>
          <w:rFonts w:hint="cs"/>
          <w:rtl/>
        </w:rPr>
        <w:t xml:space="preserve"> </w:t>
      </w:r>
    </w:p>
    <w:p w14:paraId="25E9CA26" w14:textId="77777777" w:rsidR="00140EB0" w:rsidRDefault="00140EB0" w:rsidP="00990163">
      <w:pPr>
        <w:rPr>
          <w:rtl/>
        </w:rPr>
      </w:pPr>
      <w:r>
        <w:rPr>
          <w:rFonts w:hint="cs"/>
          <w:rtl/>
        </w:rPr>
        <w:lastRenderedPageBreak/>
        <w:t xml:space="preserve">כאמור לעיל, גם כאשר הדירה הייתה שייכת לאחד מבני הזוג קודם לנישואין, והיא רשומה על שמו בלבד, אם שני בני הזוג גרים בדירה אזי לשניהם יש זכויות בדירה על פי פסיקת בתי המשפט. משום כך, בכל מחלוקת הנוגעת לדירה כזו יש צורך בחתימת שני בני הזוג על הסכם בוררות. </w:t>
      </w:r>
    </w:p>
    <w:p w14:paraId="14FCC9D5" w14:textId="77777777" w:rsidR="00140EB0" w:rsidRDefault="00140EB0" w:rsidP="00990163">
      <w:pPr>
        <w:rPr>
          <w:rtl/>
        </w:rPr>
      </w:pPr>
      <w:r>
        <w:rPr>
          <w:rFonts w:hint="cs"/>
          <w:rtl/>
        </w:rPr>
        <w:t>כאשר לא מדובר בדירת המגורים של בני הזוג, אלא בדירה העומדת להשכרה שהייתה שייכת לאישה טרם הנישואין, עלינו לבחון בנוסף גם שתיים מתקנות חכמים שמנינו לעיל, העוסקות בנכסי 'מלוג' והעשויות להיות רלוונטיות למצב דברים זה. הראשונה היא תקנת '</w:t>
      </w:r>
      <w:proofErr w:type="spellStart"/>
      <w:r>
        <w:rPr>
          <w:rFonts w:hint="cs"/>
          <w:rtl/>
        </w:rPr>
        <w:t>פרקונה</w:t>
      </w:r>
      <w:proofErr w:type="spellEnd"/>
      <w:r>
        <w:rPr>
          <w:rFonts w:hint="cs"/>
          <w:rtl/>
        </w:rPr>
        <w:t xml:space="preserve"> תחת פירות'. והשנייה היא 'תקנת </w:t>
      </w:r>
      <w:proofErr w:type="spellStart"/>
      <w:r>
        <w:rPr>
          <w:rFonts w:hint="cs"/>
          <w:rtl/>
        </w:rPr>
        <w:t>אושא</w:t>
      </w:r>
      <w:proofErr w:type="spellEnd"/>
      <w:r>
        <w:rPr>
          <w:rFonts w:hint="cs"/>
          <w:rtl/>
        </w:rPr>
        <w:t xml:space="preserve">'.  </w:t>
      </w:r>
    </w:p>
    <w:p w14:paraId="40D7A26E" w14:textId="3F89B032" w:rsidR="00140EB0" w:rsidRDefault="00140EB0" w:rsidP="00140EB0">
      <w:pPr>
        <w:pStyle w:val="5"/>
        <w:rPr>
          <w:rtl/>
        </w:rPr>
      </w:pPr>
      <w:bookmarkStart w:id="35" w:name="_Toc145602397"/>
      <w:bookmarkStart w:id="36" w:name="_Toc146058268"/>
      <w:bookmarkStart w:id="37" w:name="_Toc168268746"/>
      <w:bookmarkStart w:id="38" w:name="_Toc168327351"/>
      <w:r>
        <w:rPr>
          <w:rFonts w:hint="cs"/>
          <w:rtl/>
        </w:rPr>
        <w:t xml:space="preserve">1. תקנת </w:t>
      </w:r>
      <w:proofErr w:type="spellStart"/>
      <w:r>
        <w:rPr>
          <w:rFonts w:hint="cs"/>
          <w:rtl/>
        </w:rPr>
        <w:t>פרקונה</w:t>
      </w:r>
      <w:proofErr w:type="spellEnd"/>
      <w:r>
        <w:rPr>
          <w:rFonts w:hint="cs"/>
          <w:rtl/>
        </w:rPr>
        <w:t xml:space="preserve"> תחת פירות</w:t>
      </w:r>
      <w:bookmarkEnd w:id="35"/>
      <w:bookmarkEnd w:id="36"/>
      <w:bookmarkEnd w:id="37"/>
      <w:bookmarkEnd w:id="38"/>
      <w:r>
        <w:rPr>
          <w:rFonts w:hint="cs"/>
          <w:rtl/>
        </w:rPr>
        <w:t xml:space="preserve"> </w:t>
      </w:r>
    </w:p>
    <w:p w14:paraId="2B7F3CB0" w14:textId="0DAF5E1B" w:rsidR="00140EB0" w:rsidRDefault="00140EB0" w:rsidP="00990163">
      <w:pPr>
        <w:rPr>
          <w:rtl/>
        </w:rPr>
      </w:pPr>
      <w:r>
        <w:rPr>
          <w:rFonts w:hint="cs"/>
          <w:rtl/>
        </w:rPr>
        <w:t xml:space="preserve">חכמים הקנו לבעל את הזכות ליהנות מפירות נכסי מלוג של האישה וזאת בתמורה לחיובו </w:t>
      </w:r>
      <w:proofErr w:type="spellStart"/>
      <w:r>
        <w:rPr>
          <w:rFonts w:hint="cs"/>
          <w:rtl/>
        </w:rPr>
        <w:t>ב'פרקונה</w:t>
      </w:r>
      <w:proofErr w:type="spellEnd"/>
      <w:r>
        <w:rPr>
          <w:rFonts w:hint="cs"/>
          <w:rtl/>
        </w:rPr>
        <w:t>', קרי, פדיון מהשבי. פירות נכסי 'מלוג' אמורים לסייע במימון צורכי משק הבית המשותף, ובלשון הגמרא</w:t>
      </w:r>
      <w:r w:rsidR="001703B7">
        <w:rPr>
          <w:rFonts w:hint="cs"/>
          <w:rtl/>
        </w:rPr>
        <w:t xml:space="preserve"> (כתובות </w:t>
      </w:r>
      <w:proofErr w:type="spellStart"/>
      <w:r w:rsidR="001703B7">
        <w:rPr>
          <w:rFonts w:hint="cs"/>
          <w:rtl/>
        </w:rPr>
        <w:t>פ,ב</w:t>
      </w:r>
      <w:proofErr w:type="spellEnd"/>
      <w:r w:rsidR="001703B7">
        <w:rPr>
          <w:rFonts w:hint="cs"/>
          <w:rtl/>
        </w:rPr>
        <w:t>),</w:t>
      </w:r>
      <w:r>
        <w:rPr>
          <w:rFonts w:hint="cs"/>
          <w:rtl/>
        </w:rPr>
        <w:t xml:space="preserve"> לצורך 'רווח ביתא' </w:t>
      </w:r>
      <w:r w:rsidR="00990163">
        <w:rPr>
          <w:rtl/>
        </w:rPr>
        <w:t>-</w:t>
      </w:r>
      <w:r>
        <w:rPr>
          <w:rFonts w:hint="cs"/>
          <w:rtl/>
        </w:rPr>
        <w:t xml:space="preserve"> רווחת הבית. כנגד הפירות, מתחייב הבעל לפדות את האישה משבי. מכאן, שהבעל לכאורה זכאי לרווחי דירה שבבעלות האישה, ולכן יש לכלול אותו בהסכם בוררות הנוגע לרווחים אלה. </w:t>
      </w:r>
    </w:p>
    <w:p w14:paraId="4B4806E6" w14:textId="4399BE57" w:rsidR="00140EB0" w:rsidRDefault="00140EB0" w:rsidP="00990163">
      <w:pPr>
        <w:rPr>
          <w:rtl/>
        </w:rPr>
      </w:pPr>
      <w:proofErr w:type="spellStart"/>
      <w:r w:rsidRPr="00CD678E">
        <w:rPr>
          <w:rtl/>
        </w:rPr>
        <w:t>אביי</w:t>
      </w:r>
      <w:proofErr w:type="spellEnd"/>
      <w:r>
        <w:rPr>
          <w:rFonts w:hint="cs"/>
          <w:rtl/>
        </w:rPr>
        <w:t xml:space="preserve"> (בגמרא, שם)</w:t>
      </w:r>
      <w:r w:rsidRPr="00CD678E">
        <w:rPr>
          <w:rtl/>
        </w:rPr>
        <w:t xml:space="preserve"> </w:t>
      </w:r>
      <w:r>
        <w:rPr>
          <w:rFonts w:hint="cs"/>
          <w:rtl/>
        </w:rPr>
        <w:t xml:space="preserve">עסק </w:t>
      </w:r>
      <w:r w:rsidRPr="00CD678E">
        <w:rPr>
          <w:rtl/>
        </w:rPr>
        <w:t xml:space="preserve">בשאלה מדוע מזונותיה תחת מעשה ידיה </w:t>
      </w:r>
      <w:proofErr w:type="spellStart"/>
      <w:r w:rsidRPr="00CD678E">
        <w:rPr>
          <w:rtl/>
        </w:rPr>
        <w:t>ופרקונה</w:t>
      </w:r>
      <w:proofErr w:type="spellEnd"/>
      <w:r w:rsidRPr="00CD678E">
        <w:rPr>
          <w:rtl/>
        </w:rPr>
        <w:t xml:space="preserve"> תחת פירותיה, ו</w:t>
      </w:r>
      <w:r w:rsidR="001703B7">
        <w:rPr>
          <w:rFonts w:hint="cs"/>
          <w:rtl/>
        </w:rPr>
        <w:t>ה</w:t>
      </w:r>
      <w:r w:rsidRPr="00CD678E">
        <w:rPr>
          <w:rtl/>
        </w:rPr>
        <w:t>סביר שת</w:t>
      </w:r>
      <w:r>
        <w:rPr>
          <w:rFonts w:hint="cs"/>
          <w:rtl/>
        </w:rPr>
        <w:t>י</w:t>
      </w:r>
      <w:r w:rsidRPr="00CD678E">
        <w:rPr>
          <w:rtl/>
        </w:rPr>
        <w:t>קנו את החובות המצויות של הבעל כלפי הא</w:t>
      </w:r>
      <w:r>
        <w:rPr>
          <w:rFonts w:hint="cs"/>
          <w:rtl/>
        </w:rPr>
        <w:t>י</w:t>
      </w:r>
      <w:r w:rsidRPr="00CD678E">
        <w:rPr>
          <w:rtl/>
        </w:rPr>
        <w:t>שה כנגד התחייבויות מצויות של הא</w:t>
      </w:r>
      <w:r>
        <w:rPr>
          <w:rFonts w:hint="cs"/>
          <w:rtl/>
        </w:rPr>
        <w:t>י</w:t>
      </w:r>
      <w:r w:rsidRPr="00CD678E">
        <w:rPr>
          <w:rtl/>
        </w:rPr>
        <w:t>שה כלפי הבעל, ודברים פחות מצויים תיקנו כנגד דברים שאצל הא</w:t>
      </w:r>
      <w:r>
        <w:rPr>
          <w:rFonts w:hint="cs"/>
          <w:rtl/>
        </w:rPr>
        <w:t>י</w:t>
      </w:r>
      <w:r w:rsidRPr="00CD678E">
        <w:rPr>
          <w:rtl/>
        </w:rPr>
        <w:t>שה הם פחות מצויים. מזונות שהם תדירים תיקנו כנגד מעשה ידיה שהם תדירים, ופירות נכסים, שלא תמיד הם מצויים, תיקנו כנגד פדיונה מן השבי.</w:t>
      </w:r>
      <w:r>
        <w:rPr>
          <w:rFonts w:hint="cs"/>
          <w:rtl/>
        </w:rPr>
        <w:t xml:space="preserve"> </w:t>
      </w:r>
    </w:p>
    <w:p w14:paraId="253D9307" w14:textId="6900451D" w:rsidR="00140EB0" w:rsidRDefault="00140EB0" w:rsidP="00990163">
      <w:pPr>
        <w:rPr>
          <w:sz w:val="24"/>
          <w:rtl/>
        </w:rPr>
      </w:pPr>
      <w:r>
        <w:rPr>
          <w:rFonts w:hint="cs"/>
          <w:sz w:val="24"/>
          <w:rtl/>
        </w:rPr>
        <w:t>בימינו, נפילה בשבי האויב כמעט אינה מצויה, והמדינה בדרך כלל לוקחת אחריות על מצבים חריגים מעין אלה.</w:t>
      </w:r>
      <w:r w:rsidR="003660C1">
        <w:rPr>
          <w:rStyle w:val="ac"/>
          <w:sz w:val="24"/>
          <w:rtl/>
        </w:rPr>
        <w:footnoteReference w:id="13"/>
      </w:r>
      <w:r>
        <w:rPr>
          <w:rFonts w:hint="cs"/>
          <w:sz w:val="24"/>
          <w:rtl/>
        </w:rPr>
        <w:t xml:space="preserve"> </w:t>
      </w:r>
      <w:r w:rsidRPr="00AA7489">
        <w:rPr>
          <w:rFonts w:hint="cs"/>
          <w:rtl/>
        </w:rPr>
        <w:t>י</w:t>
      </w:r>
      <w:r>
        <w:rPr>
          <w:rFonts w:hint="cs"/>
          <w:rtl/>
        </w:rPr>
        <w:t>י</w:t>
      </w:r>
      <w:r w:rsidRPr="00AA7489">
        <w:rPr>
          <w:rFonts w:hint="cs"/>
          <w:rtl/>
        </w:rPr>
        <w:t xml:space="preserve">תכן שחובת פדיון משבי נוגעת כיום לשחרור אישה מהכלא בערבות או תשלום קנס כעונש חליפי למאסר. אמנם </w:t>
      </w:r>
      <w:r w:rsidRPr="00AA7489">
        <w:rPr>
          <w:rtl/>
        </w:rPr>
        <w:t>דעת רוב הפוסקים</w:t>
      </w:r>
      <w:r w:rsidRPr="00AA7489">
        <w:rPr>
          <w:rFonts w:hint="cs"/>
          <w:rtl/>
        </w:rPr>
        <w:t xml:space="preserve"> היא</w:t>
      </w:r>
      <w:r w:rsidRPr="00AA7489">
        <w:rPr>
          <w:rtl/>
        </w:rPr>
        <w:t xml:space="preserve"> ש</w:t>
      </w:r>
      <w:r w:rsidRPr="00AA7489">
        <w:rPr>
          <w:rFonts w:hint="cs"/>
          <w:rtl/>
        </w:rPr>
        <w:t xml:space="preserve">אם </w:t>
      </w:r>
      <w:r w:rsidRPr="00AA7489">
        <w:rPr>
          <w:rtl/>
        </w:rPr>
        <w:t>הא</w:t>
      </w:r>
      <w:r w:rsidRPr="00AA7489">
        <w:rPr>
          <w:rFonts w:hint="cs"/>
          <w:rtl/>
        </w:rPr>
        <w:t>ישה</w:t>
      </w:r>
      <w:r w:rsidRPr="00AA7489">
        <w:rPr>
          <w:rtl/>
        </w:rPr>
        <w:t xml:space="preserve"> אשמה </w:t>
      </w:r>
      <w:r>
        <w:rPr>
          <w:rFonts w:hint="cs"/>
          <w:rtl/>
        </w:rPr>
        <w:t xml:space="preserve">בכך שנכלאה, </w:t>
      </w:r>
      <w:r w:rsidRPr="00AA7489">
        <w:rPr>
          <w:rtl/>
        </w:rPr>
        <w:t>אין הבעל חייב לפדותה</w:t>
      </w:r>
      <w:r>
        <w:rPr>
          <w:rFonts w:hint="cs"/>
          <w:rtl/>
        </w:rPr>
        <w:t>.</w:t>
      </w:r>
      <w:r w:rsidRPr="00AA7489">
        <w:rPr>
          <w:rtl/>
        </w:rPr>
        <w:t xml:space="preserve"> אך </w:t>
      </w:r>
      <w:r w:rsidRPr="00AA7489">
        <w:rPr>
          <w:rFonts w:hint="cs"/>
          <w:rtl/>
        </w:rPr>
        <w:t>נראה ש</w:t>
      </w:r>
      <w:r w:rsidRPr="00AA7489">
        <w:rPr>
          <w:rtl/>
        </w:rPr>
        <w:t xml:space="preserve">שחרור בערבות לפני משפט </w:t>
      </w:r>
      <w:r w:rsidRPr="00AA7489">
        <w:rPr>
          <w:rFonts w:hint="cs"/>
          <w:rtl/>
        </w:rPr>
        <w:t>מוטל על הבעל</w:t>
      </w:r>
      <w:r>
        <w:rPr>
          <w:rFonts w:hint="cs"/>
          <w:rtl/>
        </w:rPr>
        <w:t>,</w:t>
      </w:r>
      <w:r w:rsidRPr="00AA7489">
        <w:rPr>
          <w:rFonts w:hint="cs"/>
          <w:rtl/>
        </w:rPr>
        <w:t xml:space="preserve"> שכן האישה בשלב זה </w:t>
      </w:r>
      <w:r w:rsidRPr="00AA7489">
        <w:rPr>
          <w:rtl/>
        </w:rPr>
        <w:t>בחזקת זכאית עד שתוברר אשמתה</w:t>
      </w:r>
      <w:r>
        <w:rPr>
          <w:rFonts w:hint="cs"/>
          <w:rtl/>
        </w:rPr>
        <w:t>. הוא הדין במקרה שמדובר בהאשמת שווא, שחובת הבעל לממן את ההוצאות המשפטיות של אשתו.</w:t>
      </w:r>
      <w:r>
        <w:rPr>
          <w:rStyle w:val="ac"/>
          <w:rFonts w:ascii="David" w:hAnsi="David"/>
          <w:rtl/>
        </w:rPr>
        <w:footnoteReference w:id="14"/>
      </w:r>
      <w:r>
        <w:rPr>
          <w:rFonts w:hint="cs"/>
          <w:sz w:val="24"/>
          <w:rtl/>
        </w:rPr>
        <w:t xml:space="preserve"> </w:t>
      </w:r>
    </w:p>
    <w:p w14:paraId="463E357B" w14:textId="1871DC75" w:rsidR="00140EB0" w:rsidRDefault="001703B7" w:rsidP="00990163">
      <w:pPr>
        <w:rPr>
          <w:rtl/>
        </w:rPr>
      </w:pPr>
      <w:r>
        <w:rPr>
          <w:rFonts w:hint="cs"/>
          <w:rtl/>
        </w:rPr>
        <w:t xml:space="preserve">בנוסף, </w:t>
      </w:r>
      <w:proofErr w:type="spellStart"/>
      <w:r>
        <w:rPr>
          <w:rFonts w:hint="cs"/>
          <w:rtl/>
        </w:rPr>
        <w:t>הרא"ש</w:t>
      </w:r>
      <w:proofErr w:type="spellEnd"/>
      <w:r>
        <w:rPr>
          <w:rFonts w:hint="cs"/>
          <w:rtl/>
        </w:rPr>
        <w:t xml:space="preserve"> (כתובות פ"ד סי' </w:t>
      </w:r>
      <w:proofErr w:type="spellStart"/>
      <w:r>
        <w:rPr>
          <w:rFonts w:hint="cs"/>
          <w:rtl/>
        </w:rPr>
        <w:t>כג</w:t>
      </w:r>
      <w:proofErr w:type="spellEnd"/>
      <w:r>
        <w:rPr>
          <w:rFonts w:hint="cs"/>
          <w:rtl/>
        </w:rPr>
        <w:t xml:space="preserve">) </w:t>
      </w:r>
      <w:proofErr w:type="spellStart"/>
      <w:r>
        <w:rPr>
          <w:rFonts w:hint="cs"/>
          <w:rtl/>
        </w:rPr>
        <w:t>והשו"ע</w:t>
      </w:r>
      <w:proofErr w:type="spellEnd"/>
      <w:r>
        <w:rPr>
          <w:rFonts w:hint="cs"/>
          <w:rtl/>
        </w:rPr>
        <w:t xml:space="preserve"> (</w:t>
      </w:r>
      <w:proofErr w:type="spellStart"/>
      <w:r>
        <w:rPr>
          <w:rFonts w:hint="cs"/>
          <w:rtl/>
        </w:rPr>
        <w:t>אה"ע</w:t>
      </w:r>
      <w:proofErr w:type="spellEnd"/>
      <w:r>
        <w:rPr>
          <w:rFonts w:hint="cs"/>
          <w:rtl/>
        </w:rPr>
        <w:t xml:space="preserve"> </w:t>
      </w:r>
      <w:proofErr w:type="spellStart"/>
      <w:r>
        <w:rPr>
          <w:rFonts w:hint="cs"/>
          <w:rtl/>
        </w:rPr>
        <w:t>עט,א</w:t>
      </w:r>
      <w:proofErr w:type="spellEnd"/>
      <w:r>
        <w:rPr>
          <w:rFonts w:hint="cs"/>
          <w:rtl/>
        </w:rPr>
        <w:t>)</w:t>
      </w:r>
      <w:r w:rsidR="00140EB0">
        <w:rPr>
          <w:rFonts w:hint="cs"/>
          <w:rtl/>
        </w:rPr>
        <w:t xml:space="preserve"> כללו בתוך '</w:t>
      </w:r>
      <w:proofErr w:type="spellStart"/>
      <w:r w:rsidR="00140EB0">
        <w:rPr>
          <w:rFonts w:hint="cs"/>
          <w:rtl/>
        </w:rPr>
        <w:t>פרקונה</w:t>
      </w:r>
      <w:proofErr w:type="spellEnd"/>
      <w:r w:rsidR="00140EB0">
        <w:rPr>
          <w:rFonts w:hint="cs"/>
          <w:rtl/>
        </w:rPr>
        <w:t xml:space="preserve">' גם חיוב של הבעל לממן הוצאות רפואה שמחייבות הוצאה כספית חד פעמית (רפואה שיש לה קצבה). </w:t>
      </w:r>
    </w:p>
    <w:p w14:paraId="3840B5B3" w14:textId="74BA2FD3" w:rsidR="00140EB0" w:rsidRDefault="00140EB0" w:rsidP="001703B7">
      <w:pPr>
        <w:rPr>
          <w:rtl/>
        </w:rPr>
      </w:pPr>
      <w:r>
        <w:rPr>
          <w:rFonts w:hint="cs"/>
          <w:rtl/>
        </w:rPr>
        <w:t xml:space="preserve">בהמשך נרחיב את הדיון בהיקף חיוב ההוצאות עבור </w:t>
      </w:r>
      <w:proofErr w:type="spellStart"/>
      <w:r>
        <w:rPr>
          <w:rFonts w:hint="cs"/>
          <w:rtl/>
        </w:rPr>
        <w:t>פרקונה</w:t>
      </w:r>
      <w:proofErr w:type="spellEnd"/>
      <w:r>
        <w:rPr>
          <w:rFonts w:hint="cs"/>
          <w:rtl/>
        </w:rPr>
        <w:t xml:space="preserve"> וביכולת לוותר עליהן, אולם על פי שורת הדין</w:t>
      </w:r>
      <w:r w:rsidR="001703B7">
        <w:rPr>
          <w:rFonts w:hint="cs"/>
          <w:rtl/>
        </w:rPr>
        <w:t xml:space="preserve"> נראה</w:t>
      </w:r>
      <w:r>
        <w:rPr>
          <w:rFonts w:hint="cs"/>
          <w:rtl/>
        </w:rPr>
        <w:t xml:space="preserve">, </w:t>
      </w:r>
      <w:r w:rsidR="001703B7">
        <w:rPr>
          <w:rFonts w:hint="cs"/>
          <w:rtl/>
        </w:rPr>
        <w:t>ש</w:t>
      </w:r>
      <w:r>
        <w:rPr>
          <w:rFonts w:hint="cs"/>
          <w:rtl/>
        </w:rPr>
        <w:t xml:space="preserve">דמי השכירות עבור דירה השייכת לאישה עוד טרם נישואיה, שייכים לבעלה. </w:t>
      </w:r>
      <w:r w:rsidR="001703B7">
        <w:rPr>
          <w:rFonts w:hint="cs"/>
          <w:rtl/>
        </w:rPr>
        <w:t>על פי זה פסק</w:t>
      </w:r>
      <w:r>
        <w:rPr>
          <w:rFonts w:hint="cs"/>
          <w:rtl/>
        </w:rPr>
        <w:t xml:space="preserve"> </w:t>
      </w:r>
      <w:proofErr w:type="spellStart"/>
      <w:r w:rsidR="001703B7">
        <w:rPr>
          <w:rFonts w:hint="cs"/>
          <w:rtl/>
        </w:rPr>
        <w:t>ה</w:t>
      </w:r>
      <w:r>
        <w:rPr>
          <w:rFonts w:hint="cs"/>
          <w:rtl/>
        </w:rPr>
        <w:t>שו"ע</w:t>
      </w:r>
      <w:proofErr w:type="spellEnd"/>
      <w:r w:rsidR="001703B7">
        <w:rPr>
          <w:rFonts w:hint="cs"/>
          <w:rtl/>
        </w:rPr>
        <w:t xml:space="preserve"> (</w:t>
      </w:r>
      <w:proofErr w:type="spellStart"/>
      <w:r w:rsidR="001703B7">
        <w:rPr>
          <w:rFonts w:hint="cs"/>
          <w:rtl/>
        </w:rPr>
        <w:t>אה"ע</w:t>
      </w:r>
      <w:proofErr w:type="spellEnd"/>
      <w:r w:rsidR="001703B7">
        <w:rPr>
          <w:rFonts w:hint="cs"/>
          <w:rtl/>
        </w:rPr>
        <w:t xml:space="preserve"> </w:t>
      </w:r>
      <w:proofErr w:type="spellStart"/>
      <w:r w:rsidR="001703B7">
        <w:rPr>
          <w:rFonts w:hint="cs"/>
          <w:rtl/>
        </w:rPr>
        <w:t>פה,ד</w:t>
      </w:r>
      <w:proofErr w:type="spellEnd"/>
      <w:r w:rsidR="001703B7">
        <w:rPr>
          <w:rFonts w:hint="cs"/>
          <w:rtl/>
        </w:rPr>
        <w:t>),</w:t>
      </w:r>
      <w:r>
        <w:rPr>
          <w:rFonts w:hint="cs"/>
          <w:rtl/>
        </w:rPr>
        <w:t xml:space="preserve"> שכאשר יש דיון משפטי על נכסי מלוג</w:t>
      </w:r>
      <w:r w:rsidR="001703B7">
        <w:rPr>
          <w:rFonts w:hint="cs"/>
          <w:rtl/>
        </w:rPr>
        <w:t>,</w:t>
      </w:r>
      <w:r>
        <w:rPr>
          <w:rFonts w:hint="cs"/>
          <w:rtl/>
        </w:rPr>
        <w:t xml:space="preserve"> שני בני הזוג הם בעלי הדין</w:t>
      </w:r>
      <w:r w:rsidR="001703B7">
        <w:rPr>
          <w:rFonts w:hint="cs"/>
          <w:rtl/>
        </w:rPr>
        <w:t>.</w:t>
      </w:r>
    </w:p>
    <w:p w14:paraId="55278AFF" w14:textId="5DEEFAEF" w:rsidR="00140EB0" w:rsidRDefault="001703B7" w:rsidP="00990163">
      <w:pPr>
        <w:rPr>
          <w:rtl/>
        </w:rPr>
      </w:pPr>
      <w:r>
        <w:rPr>
          <w:rFonts w:hint="cs"/>
          <w:rtl/>
        </w:rPr>
        <w:t xml:space="preserve">כאשר הדיון הוא גם על פירות הנכסים, פסק </w:t>
      </w:r>
      <w:proofErr w:type="spellStart"/>
      <w:r>
        <w:rPr>
          <w:rFonts w:hint="cs"/>
          <w:rtl/>
        </w:rPr>
        <w:t>השו"ע</w:t>
      </w:r>
      <w:proofErr w:type="spellEnd"/>
      <w:r>
        <w:rPr>
          <w:rFonts w:hint="cs"/>
          <w:rtl/>
        </w:rPr>
        <w:t xml:space="preserve"> (שם) שדי בבעל שידון</w:t>
      </w:r>
      <w:r w:rsidR="00140EB0">
        <w:rPr>
          <w:rFonts w:hint="cs"/>
          <w:rtl/>
        </w:rPr>
        <w:t>,</w:t>
      </w:r>
      <w:r>
        <w:rPr>
          <w:rFonts w:hint="cs"/>
          <w:rtl/>
        </w:rPr>
        <w:t xml:space="preserve"> ואין צורך בהסכמת האישה, אך</w:t>
      </w:r>
      <w:r w:rsidR="00140EB0">
        <w:rPr>
          <w:rFonts w:hint="cs"/>
          <w:rtl/>
        </w:rPr>
        <w:t xml:space="preserve"> ה</w:t>
      </w:r>
      <w:r w:rsidR="00140EB0" w:rsidRPr="00534D6A">
        <w:rPr>
          <w:rFonts w:hint="cs"/>
          <w:rtl/>
        </w:rPr>
        <w:t>חלקת</w:t>
      </w:r>
      <w:r w:rsidR="00140EB0" w:rsidRPr="00534D6A">
        <w:rPr>
          <w:rtl/>
        </w:rPr>
        <w:t xml:space="preserve"> </w:t>
      </w:r>
      <w:r w:rsidR="00140EB0" w:rsidRPr="00534D6A">
        <w:rPr>
          <w:rFonts w:hint="cs"/>
          <w:rtl/>
        </w:rPr>
        <w:t>מחוקק</w:t>
      </w:r>
      <w:r w:rsidR="00140EB0">
        <w:rPr>
          <w:rFonts w:hint="cs"/>
          <w:rtl/>
        </w:rPr>
        <w:t xml:space="preserve"> </w:t>
      </w:r>
      <w:r>
        <w:rPr>
          <w:rFonts w:hint="cs"/>
          <w:rtl/>
        </w:rPr>
        <w:t xml:space="preserve">(שם </w:t>
      </w:r>
      <w:proofErr w:type="spellStart"/>
      <w:r>
        <w:rPr>
          <w:rFonts w:hint="cs"/>
          <w:rtl/>
        </w:rPr>
        <w:t>ס"ק</w:t>
      </w:r>
      <w:proofErr w:type="spellEnd"/>
      <w:r>
        <w:rPr>
          <w:rFonts w:hint="cs"/>
          <w:rtl/>
        </w:rPr>
        <w:t xml:space="preserve"> י) </w:t>
      </w:r>
      <w:r w:rsidR="00140EB0">
        <w:rPr>
          <w:rFonts w:hint="cs"/>
          <w:rtl/>
        </w:rPr>
        <w:t>חלק על כך, ו</w:t>
      </w:r>
      <w:r>
        <w:rPr>
          <w:rFonts w:hint="cs"/>
          <w:rtl/>
        </w:rPr>
        <w:t xml:space="preserve">לדעתו </w:t>
      </w:r>
      <w:r w:rsidR="00140EB0">
        <w:rPr>
          <w:rFonts w:hint="cs"/>
          <w:rtl/>
        </w:rPr>
        <w:t xml:space="preserve">בכל מקרה יש </w:t>
      </w:r>
      <w:r w:rsidR="00140EB0">
        <w:rPr>
          <w:rFonts w:hint="cs"/>
          <w:rtl/>
        </w:rPr>
        <w:lastRenderedPageBreak/>
        <w:t xml:space="preserve">צורך בהרשאת האישה לבעל לקחת חלק בדיון </w:t>
      </w:r>
      <w:r w:rsidR="00990163">
        <w:rPr>
          <w:rtl/>
        </w:rPr>
        <w:t>-</w:t>
      </w:r>
      <w:r w:rsidR="00140EB0">
        <w:rPr>
          <w:rFonts w:hint="cs"/>
          <w:rtl/>
        </w:rPr>
        <w:t xml:space="preserve"> "</w:t>
      </w:r>
      <w:r w:rsidR="00140EB0" w:rsidRPr="00534D6A">
        <w:rPr>
          <w:rFonts w:hint="cs"/>
          <w:rtl/>
        </w:rPr>
        <w:t>אפשר</w:t>
      </w:r>
      <w:r w:rsidR="00140EB0" w:rsidRPr="00534D6A">
        <w:rPr>
          <w:rtl/>
        </w:rPr>
        <w:t xml:space="preserve"> </w:t>
      </w:r>
      <w:r w:rsidR="00140EB0" w:rsidRPr="00534D6A">
        <w:rPr>
          <w:rFonts w:hint="cs"/>
          <w:rtl/>
        </w:rPr>
        <w:t>לומר</w:t>
      </w:r>
      <w:r w:rsidR="00140EB0" w:rsidRPr="00534D6A">
        <w:rPr>
          <w:rtl/>
        </w:rPr>
        <w:t xml:space="preserve"> </w:t>
      </w:r>
      <w:r w:rsidR="00140EB0" w:rsidRPr="00534D6A">
        <w:rPr>
          <w:rFonts w:hint="cs"/>
          <w:rtl/>
        </w:rPr>
        <w:t>אפילו</w:t>
      </w:r>
      <w:r w:rsidR="00140EB0" w:rsidRPr="00534D6A">
        <w:rPr>
          <w:rtl/>
        </w:rPr>
        <w:t xml:space="preserve"> </w:t>
      </w:r>
      <w:r w:rsidR="00140EB0" w:rsidRPr="00534D6A">
        <w:rPr>
          <w:rFonts w:hint="cs"/>
          <w:rtl/>
        </w:rPr>
        <w:t>על</w:t>
      </w:r>
      <w:r w:rsidR="00140EB0" w:rsidRPr="00534D6A">
        <w:rPr>
          <w:rtl/>
        </w:rPr>
        <w:t xml:space="preserve"> </w:t>
      </w:r>
      <w:r w:rsidR="00140EB0" w:rsidRPr="00534D6A">
        <w:rPr>
          <w:rFonts w:hint="cs"/>
          <w:rtl/>
        </w:rPr>
        <w:t>הפירות</w:t>
      </w:r>
      <w:r w:rsidR="00140EB0" w:rsidRPr="00534D6A">
        <w:rPr>
          <w:rtl/>
        </w:rPr>
        <w:t xml:space="preserve"> </w:t>
      </w:r>
      <w:r w:rsidR="00140EB0" w:rsidRPr="00534D6A">
        <w:rPr>
          <w:rFonts w:hint="cs"/>
          <w:rtl/>
        </w:rPr>
        <w:t>לבדן</w:t>
      </w:r>
      <w:r w:rsidR="00140EB0" w:rsidRPr="00534D6A">
        <w:rPr>
          <w:rtl/>
        </w:rPr>
        <w:t xml:space="preserve"> </w:t>
      </w:r>
      <w:r w:rsidR="00140EB0" w:rsidRPr="00534D6A">
        <w:rPr>
          <w:rFonts w:hint="cs"/>
          <w:rtl/>
        </w:rPr>
        <w:t>צריך</w:t>
      </w:r>
      <w:r w:rsidR="00140EB0" w:rsidRPr="00534D6A">
        <w:rPr>
          <w:rtl/>
        </w:rPr>
        <w:t xml:space="preserve"> </w:t>
      </w:r>
      <w:r w:rsidR="00140EB0" w:rsidRPr="00534D6A">
        <w:rPr>
          <w:rFonts w:hint="cs"/>
          <w:rtl/>
        </w:rPr>
        <w:t>הרשאה</w:t>
      </w:r>
      <w:r>
        <w:rPr>
          <w:rFonts w:hint="cs"/>
          <w:rtl/>
        </w:rPr>
        <w:t>,</w:t>
      </w:r>
      <w:r w:rsidR="00140EB0" w:rsidRPr="00534D6A">
        <w:rPr>
          <w:rtl/>
        </w:rPr>
        <w:t xml:space="preserve"> </w:t>
      </w:r>
      <w:r w:rsidR="00140EB0" w:rsidRPr="00534D6A">
        <w:rPr>
          <w:rFonts w:hint="cs"/>
          <w:rtl/>
        </w:rPr>
        <w:t>דאין</w:t>
      </w:r>
      <w:r w:rsidR="00140EB0" w:rsidRPr="00534D6A">
        <w:rPr>
          <w:rtl/>
        </w:rPr>
        <w:t xml:space="preserve"> </w:t>
      </w:r>
      <w:proofErr w:type="spellStart"/>
      <w:r w:rsidR="00140EB0" w:rsidRPr="00534D6A">
        <w:rPr>
          <w:rFonts w:hint="cs"/>
          <w:rtl/>
        </w:rPr>
        <w:t>כח</w:t>
      </w:r>
      <w:proofErr w:type="spellEnd"/>
      <w:r w:rsidR="00140EB0" w:rsidRPr="00534D6A">
        <w:rPr>
          <w:rtl/>
        </w:rPr>
        <w:t xml:space="preserve"> </w:t>
      </w:r>
      <w:r w:rsidR="00140EB0" w:rsidRPr="00534D6A">
        <w:rPr>
          <w:rFonts w:hint="cs"/>
          <w:rtl/>
        </w:rPr>
        <w:t>בידו</w:t>
      </w:r>
      <w:r w:rsidR="00140EB0" w:rsidRPr="00534D6A">
        <w:rPr>
          <w:rtl/>
        </w:rPr>
        <w:t xml:space="preserve"> </w:t>
      </w:r>
      <w:r w:rsidR="00140EB0" w:rsidRPr="00534D6A">
        <w:rPr>
          <w:rFonts w:hint="cs"/>
          <w:rtl/>
        </w:rPr>
        <w:t>למחול</w:t>
      </w:r>
      <w:r w:rsidR="00140EB0" w:rsidRPr="00534D6A">
        <w:rPr>
          <w:rtl/>
        </w:rPr>
        <w:t xml:space="preserve"> </w:t>
      </w:r>
      <w:r w:rsidR="00140EB0" w:rsidRPr="00534D6A">
        <w:rPr>
          <w:rFonts w:hint="cs"/>
          <w:rtl/>
        </w:rPr>
        <w:t>הפירות</w:t>
      </w:r>
      <w:r w:rsidR="00140EB0" w:rsidRPr="00534D6A">
        <w:rPr>
          <w:rtl/>
        </w:rPr>
        <w:t xml:space="preserve"> </w:t>
      </w:r>
      <w:r w:rsidR="00140EB0" w:rsidRPr="00534D6A">
        <w:rPr>
          <w:rFonts w:hint="cs"/>
          <w:rtl/>
        </w:rPr>
        <w:t>משום</w:t>
      </w:r>
      <w:r w:rsidR="00140EB0" w:rsidRPr="00534D6A">
        <w:rPr>
          <w:rtl/>
        </w:rPr>
        <w:t xml:space="preserve"> </w:t>
      </w:r>
      <w:r w:rsidR="00140EB0" w:rsidRPr="00534D6A">
        <w:rPr>
          <w:rFonts w:hint="cs"/>
          <w:rtl/>
        </w:rPr>
        <w:t>רו</w:t>
      </w:r>
      <w:r>
        <w:rPr>
          <w:rFonts w:hint="cs"/>
          <w:rtl/>
        </w:rPr>
        <w:t>ו</w:t>
      </w:r>
      <w:r w:rsidR="00140EB0" w:rsidRPr="00534D6A">
        <w:rPr>
          <w:rFonts w:hint="cs"/>
          <w:rtl/>
        </w:rPr>
        <w:t>ח</w:t>
      </w:r>
      <w:r w:rsidR="00140EB0" w:rsidRPr="00534D6A">
        <w:rPr>
          <w:rtl/>
        </w:rPr>
        <w:t xml:space="preserve"> </w:t>
      </w:r>
      <w:r w:rsidR="00140EB0" w:rsidRPr="00534D6A">
        <w:rPr>
          <w:rFonts w:hint="cs"/>
          <w:rtl/>
        </w:rPr>
        <w:t>ביתא</w:t>
      </w:r>
      <w:r w:rsidR="00140EB0">
        <w:rPr>
          <w:rFonts w:hint="cs"/>
          <w:rtl/>
        </w:rPr>
        <w:t>". כלומר פירות האישה נועדו להביא רווחה לבית ולא לשמש לצרכיו של האיש לבדו, ולכן הוא אינו יכול לה</w:t>
      </w:r>
      <w:r>
        <w:rPr>
          <w:rFonts w:hint="cs"/>
          <w:rtl/>
        </w:rPr>
        <w:t>י</w:t>
      </w:r>
      <w:r w:rsidR="00140EB0">
        <w:rPr>
          <w:rFonts w:hint="cs"/>
          <w:rtl/>
        </w:rPr>
        <w:t>דיין עליהם ללא מעורבות אשתו.</w:t>
      </w:r>
    </w:p>
    <w:p w14:paraId="316549FA" w14:textId="7062E24E" w:rsidR="00140EB0" w:rsidRDefault="00140EB0" w:rsidP="00140EB0">
      <w:pPr>
        <w:pStyle w:val="5"/>
        <w:rPr>
          <w:rtl/>
        </w:rPr>
      </w:pPr>
      <w:bookmarkStart w:id="39" w:name="_Toc145602398"/>
      <w:bookmarkStart w:id="40" w:name="_Toc146058269"/>
      <w:bookmarkStart w:id="41" w:name="_Toc168268747"/>
      <w:bookmarkStart w:id="42" w:name="_Toc168327352"/>
      <w:r>
        <w:rPr>
          <w:rFonts w:hint="cs"/>
          <w:rtl/>
        </w:rPr>
        <w:t xml:space="preserve">2. תקנת </w:t>
      </w:r>
      <w:proofErr w:type="spellStart"/>
      <w:r>
        <w:rPr>
          <w:rFonts w:hint="cs"/>
          <w:rtl/>
        </w:rPr>
        <w:t>אושא</w:t>
      </w:r>
      <w:bookmarkEnd w:id="39"/>
      <w:bookmarkEnd w:id="40"/>
      <w:bookmarkEnd w:id="41"/>
      <w:bookmarkEnd w:id="42"/>
      <w:proofErr w:type="spellEnd"/>
    </w:p>
    <w:p w14:paraId="15D3C58D" w14:textId="076BD5BD" w:rsidR="00140EB0" w:rsidRDefault="00140EB0" w:rsidP="00140EB0">
      <w:pPr>
        <w:rPr>
          <w:rtl/>
        </w:rPr>
      </w:pPr>
      <w:r>
        <w:rPr>
          <w:rFonts w:hint="cs"/>
          <w:rtl/>
        </w:rPr>
        <w:t xml:space="preserve">על רקע זכותו של הבעל בנכסי מלוג של אשתו, מובאת בגמרא </w:t>
      </w:r>
      <w:r w:rsidR="005E4083">
        <w:rPr>
          <w:rFonts w:hint="cs"/>
          <w:rtl/>
        </w:rPr>
        <w:t xml:space="preserve">(ב"ב </w:t>
      </w:r>
      <w:proofErr w:type="spellStart"/>
      <w:r w:rsidR="005E4083">
        <w:rPr>
          <w:rFonts w:hint="cs"/>
          <w:rtl/>
        </w:rPr>
        <w:t>נ,א</w:t>
      </w:r>
      <w:proofErr w:type="spellEnd"/>
      <w:r w:rsidR="005E4083">
        <w:rPr>
          <w:rFonts w:hint="cs"/>
          <w:rtl/>
        </w:rPr>
        <w:t xml:space="preserve"> ועוד) </w:t>
      </w:r>
      <w:r>
        <w:rPr>
          <w:rFonts w:hint="cs"/>
          <w:rtl/>
        </w:rPr>
        <w:t xml:space="preserve">תקנת </w:t>
      </w:r>
      <w:proofErr w:type="spellStart"/>
      <w:r>
        <w:rPr>
          <w:rFonts w:hint="cs"/>
          <w:rtl/>
        </w:rPr>
        <w:t>אושא</w:t>
      </w:r>
      <w:proofErr w:type="spellEnd"/>
      <w:r>
        <w:rPr>
          <w:rFonts w:hint="cs"/>
          <w:rtl/>
        </w:rPr>
        <w:t>: "אמר</w:t>
      </w:r>
      <w:r>
        <w:rPr>
          <w:rtl/>
        </w:rPr>
        <w:t xml:space="preserve"> </w:t>
      </w:r>
      <w:r>
        <w:rPr>
          <w:rFonts w:hint="cs"/>
          <w:rtl/>
        </w:rPr>
        <w:t>רבי</w:t>
      </w:r>
      <w:r>
        <w:rPr>
          <w:rtl/>
        </w:rPr>
        <w:t xml:space="preserve"> </w:t>
      </w:r>
      <w:r>
        <w:rPr>
          <w:rFonts w:hint="cs"/>
          <w:rtl/>
        </w:rPr>
        <w:t>יוסי</w:t>
      </w:r>
      <w:r>
        <w:rPr>
          <w:rtl/>
        </w:rPr>
        <w:t xml:space="preserve"> </w:t>
      </w:r>
      <w:r>
        <w:rPr>
          <w:rFonts w:hint="cs"/>
          <w:rtl/>
        </w:rPr>
        <w:t>בר</w:t>
      </w:r>
      <w:r>
        <w:rPr>
          <w:rtl/>
        </w:rPr>
        <w:t xml:space="preserve"> </w:t>
      </w:r>
      <w:proofErr w:type="spellStart"/>
      <w:r>
        <w:rPr>
          <w:rFonts w:hint="cs"/>
          <w:rtl/>
        </w:rPr>
        <w:t>חנינא</w:t>
      </w:r>
      <w:proofErr w:type="spellEnd"/>
      <w:r>
        <w:rPr>
          <w:rtl/>
        </w:rPr>
        <w:t xml:space="preserve">: </w:t>
      </w:r>
      <w:proofErr w:type="spellStart"/>
      <w:r>
        <w:rPr>
          <w:rFonts w:hint="cs"/>
          <w:rtl/>
        </w:rPr>
        <w:t>באושא</w:t>
      </w:r>
      <w:proofErr w:type="spellEnd"/>
      <w:r>
        <w:rPr>
          <w:rtl/>
        </w:rPr>
        <w:t xml:space="preserve"> </w:t>
      </w:r>
      <w:r>
        <w:rPr>
          <w:rFonts w:hint="cs"/>
          <w:rtl/>
        </w:rPr>
        <w:t>התקינו</w:t>
      </w:r>
      <w:r>
        <w:rPr>
          <w:rtl/>
        </w:rPr>
        <w:t xml:space="preserve">, </w:t>
      </w:r>
      <w:proofErr w:type="spellStart"/>
      <w:r>
        <w:rPr>
          <w:rFonts w:hint="cs"/>
          <w:rtl/>
        </w:rPr>
        <w:t>האשה</w:t>
      </w:r>
      <w:proofErr w:type="spellEnd"/>
      <w:r>
        <w:rPr>
          <w:rtl/>
        </w:rPr>
        <w:t xml:space="preserve"> </w:t>
      </w:r>
      <w:r>
        <w:rPr>
          <w:rFonts w:hint="cs"/>
          <w:rtl/>
        </w:rPr>
        <w:t>שמכרה</w:t>
      </w:r>
      <w:r>
        <w:rPr>
          <w:rtl/>
        </w:rPr>
        <w:t xml:space="preserve"> </w:t>
      </w:r>
      <w:r>
        <w:rPr>
          <w:rFonts w:hint="cs"/>
          <w:rtl/>
        </w:rPr>
        <w:t>בנכסי</w:t>
      </w:r>
      <w:r>
        <w:rPr>
          <w:rtl/>
        </w:rPr>
        <w:t xml:space="preserve"> </w:t>
      </w:r>
      <w:r>
        <w:rPr>
          <w:rFonts w:hint="cs"/>
          <w:rtl/>
        </w:rPr>
        <w:t>מלוג</w:t>
      </w:r>
      <w:r>
        <w:rPr>
          <w:rtl/>
        </w:rPr>
        <w:t xml:space="preserve"> </w:t>
      </w:r>
      <w:r>
        <w:rPr>
          <w:rFonts w:hint="cs"/>
          <w:rtl/>
        </w:rPr>
        <w:t>ומתה</w:t>
      </w:r>
      <w:r>
        <w:rPr>
          <w:rtl/>
        </w:rPr>
        <w:t xml:space="preserve"> </w:t>
      </w:r>
      <w:r w:rsidR="00990163">
        <w:rPr>
          <w:rtl/>
        </w:rPr>
        <w:t>-</w:t>
      </w:r>
      <w:r>
        <w:rPr>
          <w:rtl/>
        </w:rPr>
        <w:t xml:space="preserve"> </w:t>
      </w:r>
      <w:r>
        <w:rPr>
          <w:rFonts w:hint="cs"/>
          <w:rtl/>
        </w:rPr>
        <w:t>הבעל</w:t>
      </w:r>
      <w:r>
        <w:rPr>
          <w:rtl/>
        </w:rPr>
        <w:t xml:space="preserve"> </w:t>
      </w:r>
      <w:r>
        <w:rPr>
          <w:rFonts w:hint="cs"/>
          <w:rtl/>
        </w:rPr>
        <w:t>מוצא</w:t>
      </w:r>
      <w:r>
        <w:rPr>
          <w:rtl/>
        </w:rPr>
        <w:t xml:space="preserve"> </w:t>
      </w:r>
      <w:r>
        <w:rPr>
          <w:rFonts w:hint="cs"/>
          <w:rtl/>
        </w:rPr>
        <w:t>מיד</w:t>
      </w:r>
      <w:r>
        <w:rPr>
          <w:rtl/>
        </w:rPr>
        <w:t xml:space="preserve"> </w:t>
      </w:r>
      <w:r>
        <w:rPr>
          <w:rFonts w:hint="cs"/>
          <w:rtl/>
        </w:rPr>
        <w:t>הלקוחות". כלומר, בנוסף לזכותו של הבעל ב</w:t>
      </w:r>
      <w:r w:rsidR="005E4083">
        <w:rPr>
          <w:rFonts w:hint="cs"/>
          <w:rtl/>
        </w:rPr>
        <w:t xml:space="preserve">פירות </w:t>
      </w:r>
      <w:r>
        <w:rPr>
          <w:rFonts w:hint="cs"/>
          <w:rtl/>
        </w:rPr>
        <w:t>נכסי מלוג</w:t>
      </w:r>
      <w:r w:rsidR="00BA0199">
        <w:rPr>
          <w:rFonts w:hint="cs"/>
          <w:rtl/>
        </w:rPr>
        <w:t xml:space="preserve"> (אותה האישה אינה יכולה למכור גם קודם לתקנה)</w:t>
      </w:r>
      <w:r>
        <w:rPr>
          <w:rFonts w:hint="cs"/>
          <w:rtl/>
        </w:rPr>
        <w:t xml:space="preserve">, תוקן עוד שאם האישה מכרה את נכסי המלוג ומתה </w:t>
      </w:r>
      <w:r w:rsidR="00990163">
        <w:rPr>
          <w:rtl/>
        </w:rPr>
        <w:t>-</w:t>
      </w:r>
      <w:r>
        <w:rPr>
          <w:rFonts w:hint="cs"/>
          <w:rtl/>
        </w:rPr>
        <w:t xml:space="preserve"> הבעל יקבל את הנכסים</w:t>
      </w:r>
      <w:r w:rsidR="00BA0199">
        <w:rPr>
          <w:rFonts w:hint="cs"/>
          <w:rtl/>
        </w:rPr>
        <w:t>.</w:t>
      </w:r>
      <w:r w:rsidR="00BA0199">
        <w:rPr>
          <w:rStyle w:val="ac"/>
          <w:rtl/>
        </w:rPr>
        <w:footnoteReference w:id="15"/>
      </w:r>
      <w:r w:rsidR="00BA0199">
        <w:rPr>
          <w:rFonts w:hint="cs"/>
          <w:rtl/>
        </w:rPr>
        <w:t xml:space="preserve"> תקנה זו נפסקה להלכה גם </w:t>
      </w:r>
      <w:proofErr w:type="spellStart"/>
      <w:r w:rsidR="00BA0199">
        <w:rPr>
          <w:rFonts w:hint="cs"/>
          <w:rtl/>
        </w:rPr>
        <w:t>בשו"ע</w:t>
      </w:r>
      <w:proofErr w:type="spellEnd"/>
      <w:r w:rsidR="00BA0199">
        <w:rPr>
          <w:rFonts w:hint="cs"/>
          <w:rtl/>
        </w:rPr>
        <w:t xml:space="preserve"> (</w:t>
      </w:r>
      <w:proofErr w:type="spellStart"/>
      <w:r w:rsidR="00BA0199">
        <w:rPr>
          <w:rFonts w:hint="cs"/>
          <w:rtl/>
        </w:rPr>
        <w:t>אה"ע</w:t>
      </w:r>
      <w:proofErr w:type="spellEnd"/>
      <w:r w:rsidR="00BA0199">
        <w:rPr>
          <w:rFonts w:hint="cs"/>
          <w:rtl/>
        </w:rPr>
        <w:t xml:space="preserve"> </w:t>
      </w:r>
      <w:proofErr w:type="spellStart"/>
      <w:r w:rsidR="00BA0199">
        <w:rPr>
          <w:rFonts w:hint="cs"/>
          <w:rtl/>
        </w:rPr>
        <w:t>צ,ט</w:t>
      </w:r>
      <w:proofErr w:type="spellEnd"/>
      <w:r w:rsidR="00BA0199">
        <w:rPr>
          <w:rFonts w:hint="cs"/>
          <w:rtl/>
        </w:rPr>
        <w:t>). מכיוון שהיא משפיעה על גוף הנכס עצמו,</w:t>
      </w:r>
      <w:r>
        <w:rPr>
          <w:rFonts w:hint="cs"/>
          <w:rtl/>
        </w:rPr>
        <w:t xml:space="preserve"> </w:t>
      </w:r>
      <w:r w:rsidR="00BA0199">
        <w:rPr>
          <w:rFonts w:hint="cs"/>
          <w:rtl/>
        </w:rPr>
        <w:t>ממילא</w:t>
      </w:r>
      <w:r>
        <w:rPr>
          <w:rFonts w:hint="cs"/>
          <w:rtl/>
        </w:rPr>
        <w:t xml:space="preserve"> יש להחתים את הבעל על הסכם בוררות </w:t>
      </w:r>
      <w:r w:rsidR="00BA0199">
        <w:rPr>
          <w:rFonts w:hint="cs"/>
          <w:rtl/>
        </w:rPr>
        <w:t>בדיון</w:t>
      </w:r>
      <w:r>
        <w:rPr>
          <w:rFonts w:hint="cs"/>
          <w:rtl/>
        </w:rPr>
        <w:t xml:space="preserve"> </w:t>
      </w:r>
      <w:r w:rsidR="00BA0199">
        <w:rPr>
          <w:rFonts w:hint="cs"/>
          <w:rtl/>
        </w:rPr>
        <w:t xml:space="preserve">על </w:t>
      </w:r>
      <w:r>
        <w:rPr>
          <w:rFonts w:hint="cs"/>
          <w:rtl/>
        </w:rPr>
        <w:t>דירה שנרכשה בנכסי מלוג, שכן לעסקאות הנוגעות לדירה יש השפעה עתידית על זכויותיו של הבעל בה.</w:t>
      </w:r>
    </w:p>
    <w:p w14:paraId="7DCD9C26" w14:textId="6EB1CFA1" w:rsidR="00140EB0" w:rsidRDefault="00140EB0" w:rsidP="00140EB0">
      <w:pPr>
        <w:pStyle w:val="5"/>
        <w:rPr>
          <w:rtl/>
        </w:rPr>
      </w:pPr>
      <w:bookmarkStart w:id="43" w:name="_Toc145602399"/>
      <w:bookmarkStart w:id="44" w:name="_Toc146058270"/>
      <w:bookmarkStart w:id="45" w:name="_Toc168268748"/>
      <w:bookmarkStart w:id="46" w:name="_Toc168327353"/>
      <w:r>
        <w:rPr>
          <w:rFonts w:hint="cs"/>
          <w:rtl/>
        </w:rPr>
        <w:t xml:space="preserve">3. ויתור על הזכות בפירות ועל תקנת </w:t>
      </w:r>
      <w:proofErr w:type="spellStart"/>
      <w:r>
        <w:rPr>
          <w:rFonts w:hint="cs"/>
          <w:rtl/>
        </w:rPr>
        <w:t>אושא</w:t>
      </w:r>
      <w:bookmarkEnd w:id="43"/>
      <w:bookmarkEnd w:id="44"/>
      <w:bookmarkEnd w:id="45"/>
      <w:bookmarkEnd w:id="46"/>
      <w:proofErr w:type="spellEnd"/>
    </w:p>
    <w:p w14:paraId="53EC613A" w14:textId="3741D1BF" w:rsidR="00140EB0" w:rsidRPr="00CD678E" w:rsidRDefault="00140EB0" w:rsidP="00E76D1D">
      <w:pPr>
        <w:pStyle w:val="-a"/>
        <w:rPr>
          <w:rtl/>
        </w:rPr>
      </w:pPr>
      <w:r>
        <w:rPr>
          <w:rFonts w:hint="cs"/>
          <w:rtl/>
        </w:rPr>
        <w:t>לעיל ראינו</w:t>
      </w:r>
      <w:r w:rsidR="000E4B33">
        <w:rPr>
          <w:rFonts w:hint="cs"/>
          <w:rtl/>
        </w:rPr>
        <w:t>,</w:t>
      </w:r>
      <w:r>
        <w:rPr>
          <w:rFonts w:hint="cs"/>
          <w:rtl/>
        </w:rPr>
        <w:t xml:space="preserve"> </w:t>
      </w:r>
      <w:r w:rsidR="000E4B33">
        <w:rPr>
          <w:rFonts w:hint="cs"/>
          <w:rtl/>
        </w:rPr>
        <w:t>ש</w:t>
      </w:r>
      <w:r>
        <w:rPr>
          <w:rFonts w:hint="cs"/>
          <w:rtl/>
        </w:rPr>
        <w:t xml:space="preserve">אישה נשואה רשאית לוותר על תקנת 'מעשי ידיה תחת מזונותיה'. בניגוד לכך, כתבו </w:t>
      </w:r>
      <w:r w:rsidRPr="00CD678E">
        <w:rPr>
          <w:rtl/>
        </w:rPr>
        <w:t>התוספות</w:t>
      </w:r>
      <w:r w:rsidR="000E4B33">
        <w:rPr>
          <w:rFonts w:hint="cs"/>
          <w:rtl/>
        </w:rPr>
        <w:t xml:space="preserve"> (כתובות </w:t>
      </w:r>
      <w:proofErr w:type="spellStart"/>
      <w:r w:rsidR="000E4B33">
        <w:rPr>
          <w:rFonts w:hint="cs"/>
          <w:rtl/>
        </w:rPr>
        <w:t>מז,ב</w:t>
      </w:r>
      <w:proofErr w:type="spellEnd"/>
      <w:r w:rsidR="000E4B33">
        <w:rPr>
          <w:rFonts w:hint="cs"/>
          <w:rtl/>
        </w:rPr>
        <w:t xml:space="preserve"> ד"ה </w:t>
      </w:r>
      <w:proofErr w:type="spellStart"/>
      <w:r w:rsidR="000E4B33">
        <w:rPr>
          <w:rFonts w:hint="cs"/>
          <w:rtl/>
        </w:rPr>
        <w:t>זימנין</w:t>
      </w:r>
      <w:proofErr w:type="spellEnd"/>
      <w:r w:rsidR="000E4B33">
        <w:rPr>
          <w:rFonts w:hint="cs"/>
          <w:rtl/>
        </w:rPr>
        <w:t>)</w:t>
      </w:r>
      <w:r>
        <w:rPr>
          <w:rFonts w:hint="cs"/>
          <w:rtl/>
        </w:rPr>
        <w:t>,</w:t>
      </w:r>
      <w:r w:rsidRPr="00CD678E">
        <w:rPr>
          <w:rtl/>
        </w:rPr>
        <w:t xml:space="preserve"> שעל פדיונה אי</w:t>
      </w:r>
      <w:r>
        <w:rPr>
          <w:rFonts w:hint="cs"/>
          <w:rtl/>
        </w:rPr>
        <w:t>ן האישה</w:t>
      </w:r>
      <w:r w:rsidRPr="00CD678E">
        <w:rPr>
          <w:rtl/>
        </w:rPr>
        <w:t xml:space="preserve"> יכולה לוותר</w:t>
      </w:r>
      <w:r>
        <w:rPr>
          <w:rFonts w:hint="cs"/>
          <w:rtl/>
        </w:rPr>
        <w:t xml:space="preserve"> כנגד אכילת פירות על ידי הבעל</w:t>
      </w:r>
      <w:r w:rsidRPr="00CD678E">
        <w:rPr>
          <w:rtl/>
        </w:rPr>
        <w:t>:</w:t>
      </w:r>
    </w:p>
    <w:p w14:paraId="2E5ADEFD" w14:textId="71F4AD9B" w:rsidR="00140EB0" w:rsidRPr="00990163" w:rsidRDefault="00140EB0" w:rsidP="00164E53">
      <w:pPr>
        <w:pStyle w:val="afe"/>
        <w:rPr>
          <w:rStyle w:val="aff"/>
          <w:rtl/>
        </w:rPr>
      </w:pPr>
      <w:r w:rsidRPr="00CD678E">
        <w:rPr>
          <w:rFonts w:ascii="David" w:hAnsi="David"/>
          <w:sz w:val="24"/>
          <w:shd w:val="clear" w:color="auto" w:fill="FFFFFF"/>
          <w:rtl/>
        </w:rPr>
        <w:t xml:space="preserve">אינה </w:t>
      </w:r>
      <w:r w:rsidRPr="00164E53">
        <w:rPr>
          <w:rtl/>
        </w:rPr>
        <w:t>יכולה</w:t>
      </w:r>
      <w:r w:rsidRPr="00CD678E">
        <w:rPr>
          <w:rFonts w:ascii="David" w:hAnsi="David"/>
          <w:sz w:val="24"/>
          <w:shd w:val="clear" w:color="auto" w:fill="FFFFFF"/>
          <w:rtl/>
        </w:rPr>
        <w:t xml:space="preserve"> לומר איני נפדית ואיני נותנת פירות... שלא ת</w:t>
      </w:r>
      <w:r w:rsidR="000E4B33">
        <w:rPr>
          <w:rFonts w:ascii="David" w:hAnsi="David" w:hint="cs"/>
          <w:sz w:val="24"/>
          <w:shd w:val="clear" w:color="auto" w:fill="FFFFFF"/>
          <w:rtl/>
        </w:rPr>
        <w:t>י</w:t>
      </w:r>
      <w:r w:rsidRPr="00CD678E">
        <w:rPr>
          <w:rFonts w:ascii="David" w:hAnsi="David"/>
          <w:sz w:val="24"/>
          <w:shd w:val="clear" w:color="auto" w:fill="FFFFFF"/>
          <w:rtl/>
        </w:rPr>
        <w:t>טמע בין העובדי כוכבים</w:t>
      </w:r>
      <w:r w:rsidR="000E4B33">
        <w:rPr>
          <w:rFonts w:ascii="David" w:hAnsi="David" w:hint="cs"/>
          <w:sz w:val="24"/>
          <w:shd w:val="clear" w:color="auto" w:fill="FFFFFF"/>
          <w:rtl/>
        </w:rPr>
        <w:t>,</w:t>
      </w:r>
      <w:r w:rsidRPr="00CD678E">
        <w:rPr>
          <w:rFonts w:ascii="David" w:hAnsi="David"/>
          <w:sz w:val="24"/>
          <w:shd w:val="clear" w:color="auto" w:fill="FFFFFF"/>
          <w:rtl/>
        </w:rPr>
        <w:t xml:space="preserve"> א</w:t>
      </w:r>
      <w:r>
        <w:rPr>
          <w:rFonts w:ascii="David" w:hAnsi="David" w:hint="cs"/>
          <w:sz w:val="24"/>
          <w:shd w:val="clear" w:color="auto" w:fill="FFFFFF"/>
          <w:rtl/>
        </w:rPr>
        <w:t xml:space="preserve">י </w:t>
      </w:r>
      <w:r w:rsidRPr="00CD678E">
        <w:rPr>
          <w:rFonts w:ascii="David" w:hAnsi="David"/>
          <w:sz w:val="24"/>
          <w:shd w:val="clear" w:color="auto" w:fill="FFFFFF"/>
          <w:rtl/>
        </w:rPr>
        <w:t>נ</w:t>
      </w:r>
      <w:r>
        <w:rPr>
          <w:rFonts w:ascii="David" w:hAnsi="David" w:hint="cs"/>
          <w:sz w:val="24"/>
          <w:shd w:val="clear" w:color="auto" w:fill="FFFFFF"/>
          <w:rtl/>
        </w:rPr>
        <w:t>מי</w:t>
      </w:r>
      <w:r w:rsidRPr="00CD678E">
        <w:rPr>
          <w:rFonts w:ascii="David" w:hAnsi="David"/>
          <w:sz w:val="24"/>
          <w:shd w:val="clear" w:color="auto" w:fill="FFFFFF"/>
          <w:rtl/>
        </w:rPr>
        <w:t xml:space="preserve"> שאני פירות דידו כידה </w:t>
      </w:r>
      <w:r w:rsidRPr="00AC710F">
        <w:rPr>
          <w:rFonts w:ascii="David" w:hAnsi="David"/>
          <w:b/>
          <w:bCs/>
          <w:sz w:val="24"/>
          <w:shd w:val="clear" w:color="auto" w:fill="FFFFFF"/>
          <w:rtl/>
        </w:rPr>
        <w:t>וזוכה בגוף הקרקע</w:t>
      </w:r>
      <w:r w:rsidR="000E4B33">
        <w:rPr>
          <w:rFonts w:ascii="David" w:hAnsi="David" w:hint="cs"/>
          <w:sz w:val="24"/>
          <w:shd w:val="clear" w:color="auto" w:fill="FFFFFF"/>
          <w:rtl/>
        </w:rPr>
        <w:t>,</w:t>
      </w:r>
      <w:r w:rsidRPr="00CD678E">
        <w:rPr>
          <w:rFonts w:ascii="David" w:hAnsi="David"/>
          <w:sz w:val="24"/>
          <w:shd w:val="clear" w:color="auto" w:fill="FFFFFF"/>
          <w:rtl/>
        </w:rPr>
        <w:t xml:space="preserve"> אבל מעשה ידיה אינם בעין</w:t>
      </w:r>
      <w:r w:rsidR="000E4B33">
        <w:rPr>
          <w:rFonts w:ascii="David" w:hAnsi="David" w:hint="cs"/>
          <w:sz w:val="24"/>
          <w:shd w:val="clear" w:color="auto" w:fill="FFFFFF"/>
          <w:rtl/>
        </w:rPr>
        <w:t>,</w:t>
      </w:r>
      <w:r w:rsidRPr="00CD678E">
        <w:rPr>
          <w:rFonts w:ascii="David" w:hAnsi="David"/>
          <w:sz w:val="24"/>
          <w:shd w:val="clear" w:color="auto" w:fill="FFFFFF"/>
          <w:rtl/>
        </w:rPr>
        <w:t xml:space="preserve"> דלא שייך </w:t>
      </w:r>
      <w:proofErr w:type="spellStart"/>
      <w:r w:rsidRPr="00CD678E">
        <w:rPr>
          <w:rFonts w:ascii="David" w:hAnsi="David"/>
          <w:sz w:val="24"/>
          <w:shd w:val="clear" w:color="auto" w:fill="FFFFFF"/>
          <w:rtl/>
        </w:rPr>
        <w:t>למימר</w:t>
      </w:r>
      <w:proofErr w:type="spellEnd"/>
      <w:r w:rsidRPr="00CD678E">
        <w:rPr>
          <w:rFonts w:ascii="David" w:hAnsi="David"/>
          <w:sz w:val="24"/>
          <w:shd w:val="clear" w:color="auto" w:fill="FFFFFF"/>
          <w:rtl/>
        </w:rPr>
        <w:t xml:space="preserve"> שיזכה בגוף היד</w:t>
      </w:r>
      <w:r w:rsidR="000E4B33">
        <w:rPr>
          <w:rFonts w:ascii="David" w:hAnsi="David" w:hint="cs"/>
          <w:sz w:val="24"/>
          <w:shd w:val="clear" w:color="auto" w:fill="FFFFFF"/>
          <w:rtl/>
        </w:rPr>
        <w:t>י</w:t>
      </w:r>
      <w:r w:rsidRPr="00CD678E">
        <w:rPr>
          <w:rFonts w:ascii="David" w:hAnsi="David"/>
          <w:sz w:val="24"/>
          <w:shd w:val="clear" w:color="auto" w:fill="FFFFFF"/>
          <w:rtl/>
        </w:rPr>
        <w:t>ים</w:t>
      </w:r>
      <w:r>
        <w:rPr>
          <w:rFonts w:ascii="David" w:hAnsi="David" w:hint="cs"/>
          <w:sz w:val="24"/>
          <w:shd w:val="clear" w:color="auto" w:fill="FFFFFF"/>
          <w:rtl/>
        </w:rPr>
        <w:t>.</w:t>
      </w:r>
    </w:p>
    <w:p w14:paraId="6F295F7B" w14:textId="17A01183" w:rsidR="00140EB0" w:rsidRDefault="000E4B33" w:rsidP="00990163">
      <w:pPr>
        <w:rPr>
          <w:rtl/>
        </w:rPr>
      </w:pPr>
      <w:r>
        <w:rPr>
          <w:rFonts w:hint="cs"/>
          <w:rtl/>
        </w:rPr>
        <w:t>התוספות כתבו שני טעמים לכך: האחד,</w:t>
      </w:r>
      <w:r w:rsidR="00140EB0">
        <w:rPr>
          <w:rFonts w:hint="cs"/>
          <w:rtl/>
        </w:rPr>
        <w:t xml:space="preserve"> </w:t>
      </w:r>
      <w:r w:rsidR="00140EB0" w:rsidRPr="00CD678E">
        <w:rPr>
          <w:rtl/>
        </w:rPr>
        <w:t>החשש ש</w:t>
      </w:r>
      <w:r>
        <w:rPr>
          <w:rFonts w:hint="cs"/>
          <w:rtl/>
        </w:rPr>
        <w:t>האישה תישבה ולא תיפדה, ו</w:t>
      </w:r>
      <w:r w:rsidR="00140EB0" w:rsidRPr="00CD678E">
        <w:rPr>
          <w:rtl/>
        </w:rPr>
        <w:t>ת</w:t>
      </w:r>
      <w:r w:rsidR="00140EB0" w:rsidRPr="00CD678E">
        <w:rPr>
          <w:rFonts w:hint="cs"/>
          <w:rtl/>
        </w:rPr>
        <w:t>י</w:t>
      </w:r>
      <w:r w:rsidR="00140EB0" w:rsidRPr="00CD678E">
        <w:rPr>
          <w:rtl/>
        </w:rPr>
        <w:t xml:space="preserve">טמע בין </w:t>
      </w:r>
      <w:r w:rsidR="00140EB0">
        <w:rPr>
          <w:rFonts w:hint="cs"/>
          <w:rtl/>
        </w:rPr>
        <w:t>הגויים</w:t>
      </w:r>
      <w:r>
        <w:rPr>
          <w:rFonts w:hint="cs"/>
          <w:rtl/>
        </w:rPr>
        <w:t>. השני,</w:t>
      </w:r>
      <w:r w:rsidR="00140EB0" w:rsidRPr="00CD678E">
        <w:rPr>
          <w:rtl/>
        </w:rPr>
        <w:t xml:space="preserve"> ש</w:t>
      </w:r>
      <w:r w:rsidR="00140EB0">
        <w:rPr>
          <w:rFonts w:hint="cs"/>
          <w:rtl/>
        </w:rPr>
        <w:t xml:space="preserve">בתקנת 'פירות' </w:t>
      </w:r>
      <w:r w:rsidR="00140EB0" w:rsidRPr="00CD678E">
        <w:rPr>
          <w:rtl/>
        </w:rPr>
        <w:t xml:space="preserve">לבעל יש </w:t>
      </w:r>
      <w:r w:rsidR="00140EB0">
        <w:rPr>
          <w:rFonts w:hint="cs"/>
          <w:rtl/>
        </w:rPr>
        <w:t xml:space="preserve">זכות קניינית ממשית בגופו של כל </w:t>
      </w:r>
      <w:r w:rsidR="00140EB0" w:rsidRPr="00CD678E">
        <w:rPr>
          <w:rtl/>
        </w:rPr>
        <w:t>נכס השייך</w:t>
      </w:r>
      <w:r w:rsidR="00140EB0" w:rsidRPr="00CD678E">
        <w:rPr>
          <w:rFonts w:hint="cs"/>
          <w:rtl/>
        </w:rPr>
        <w:t xml:space="preserve"> ל</w:t>
      </w:r>
      <w:r w:rsidR="00140EB0" w:rsidRPr="00CD678E">
        <w:rPr>
          <w:rtl/>
        </w:rPr>
        <w:t>ה</w:t>
      </w:r>
      <w:r w:rsidR="00140EB0" w:rsidRPr="00CD678E">
        <w:rPr>
          <w:rFonts w:hint="cs"/>
        </w:rPr>
        <w:t xml:space="preserve"> </w:t>
      </w:r>
      <w:r w:rsidR="00140EB0" w:rsidRPr="00CD678E">
        <w:rPr>
          <w:rFonts w:hint="cs"/>
          <w:rtl/>
        </w:rPr>
        <w:t>כל עוד הם נשואים</w:t>
      </w:r>
      <w:r w:rsidR="00140EB0" w:rsidRPr="00CD678E">
        <w:rPr>
          <w:rtl/>
        </w:rPr>
        <w:t xml:space="preserve">, </w:t>
      </w:r>
      <w:r w:rsidR="00140EB0">
        <w:rPr>
          <w:rFonts w:hint="cs"/>
          <w:rtl/>
        </w:rPr>
        <w:t xml:space="preserve">והיא אינה יכולה להפקיע את זכותו באמירה בעלמא, </w:t>
      </w:r>
      <w:r w:rsidR="00140EB0" w:rsidRPr="00CD678E">
        <w:rPr>
          <w:rtl/>
        </w:rPr>
        <w:t>אול</w:t>
      </w:r>
      <w:r w:rsidR="00140EB0" w:rsidRPr="00CD678E">
        <w:rPr>
          <w:rFonts w:hint="cs"/>
          <w:rtl/>
        </w:rPr>
        <w:t>ם</w:t>
      </w:r>
      <w:r w:rsidR="00140EB0" w:rsidRPr="00CD678E">
        <w:rPr>
          <w:rtl/>
        </w:rPr>
        <w:t xml:space="preserve"> מ</w:t>
      </w:r>
      <w:r w:rsidR="00140EB0">
        <w:rPr>
          <w:rFonts w:hint="cs"/>
          <w:rtl/>
        </w:rPr>
        <w:t>עשה ידי</w:t>
      </w:r>
      <w:r w:rsidR="00140EB0" w:rsidRPr="00CD678E">
        <w:rPr>
          <w:rtl/>
        </w:rPr>
        <w:t xml:space="preserve">ה </w:t>
      </w:r>
      <w:r w:rsidR="00140EB0">
        <w:rPr>
          <w:rFonts w:hint="cs"/>
          <w:rtl/>
        </w:rPr>
        <w:t>עדיין לא באו לעולם, ולכן אין לבעל בעלות עליהם</w:t>
      </w:r>
      <w:r w:rsidR="00140EB0" w:rsidRPr="00CD678E">
        <w:rPr>
          <w:rtl/>
        </w:rPr>
        <w:t>.</w:t>
      </w:r>
      <w:r w:rsidR="00140EB0">
        <w:rPr>
          <w:rFonts w:hint="cs"/>
          <w:rtl/>
        </w:rPr>
        <w:t xml:space="preserve"> </w:t>
      </w:r>
    </w:p>
    <w:p w14:paraId="2140EE24" w14:textId="2A085670" w:rsidR="00140EB0" w:rsidRPr="00976E46" w:rsidRDefault="00140EB0" w:rsidP="00990163">
      <w:pPr>
        <w:rPr>
          <w:rtl/>
        </w:rPr>
      </w:pPr>
      <w:r>
        <w:rPr>
          <w:rFonts w:hint="cs"/>
          <w:rtl/>
        </w:rPr>
        <w:t>נראה שכ</w:t>
      </w:r>
      <w:r w:rsidRPr="00976E46">
        <w:rPr>
          <w:rtl/>
        </w:rPr>
        <w:t xml:space="preserve">וונת </w:t>
      </w:r>
      <w:r>
        <w:rPr>
          <w:rFonts w:hint="cs"/>
          <w:rtl/>
        </w:rPr>
        <w:t>ה</w:t>
      </w:r>
      <w:r w:rsidRPr="00976E46">
        <w:rPr>
          <w:rtl/>
        </w:rPr>
        <w:t>תוס</w:t>
      </w:r>
      <w:r>
        <w:rPr>
          <w:rFonts w:hint="cs"/>
          <w:rtl/>
        </w:rPr>
        <w:t>פות שהבעל "זוכה בגוף הקרקע" היא</w:t>
      </w:r>
      <w:r w:rsidRPr="00976E46">
        <w:rPr>
          <w:rtl/>
        </w:rPr>
        <w:t xml:space="preserve"> ש</w:t>
      </w:r>
      <w:r>
        <w:rPr>
          <w:rFonts w:hint="cs"/>
          <w:rtl/>
        </w:rPr>
        <w:t xml:space="preserve">לבעל </w:t>
      </w:r>
      <w:r w:rsidRPr="00976E46">
        <w:rPr>
          <w:rtl/>
        </w:rPr>
        <w:t xml:space="preserve">זכות </w:t>
      </w:r>
      <w:r>
        <w:rPr>
          <w:rFonts w:hint="cs"/>
          <w:rtl/>
        </w:rPr>
        <w:t>קניינית בקרקע</w:t>
      </w:r>
      <w:r w:rsidR="000E4B33">
        <w:rPr>
          <w:rFonts w:hint="cs"/>
          <w:rtl/>
        </w:rPr>
        <w:t>.</w:t>
      </w:r>
      <w:r w:rsidRPr="00976E46">
        <w:rPr>
          <w:rtl/>
        </w:rPr>
        <w:t xml:space="preserve"> לעומת זאת, במעשה ידי</w:t>
      </w:r>
      <w:r>
        <w:rPr>
          <w:rFonts w:hint="cs"/>
          <w:rtl/>
        </w:rPr>
        <w:t>ה,</w:t>
      </w:r>
      <w:r w:rsidRPr="00976E46">
        <w:rPr>
          <w:rtl/>
        </w:rPr>
        <w:t xml:space="preserve"> זכות</w:t>
      </w:r>
      <w:r>
        <w:rPr>
          <w:rFonts w:hint="cs"/>
          <w:rtl/>
        </w:rPr>
        <w:t>ו של הבעל משמעותה התחייבות של האישה כלפיו. משום כך ה</w:t>
      </w:r>
      <w:r w:rsidR="000E4B33">
        <w:rPr>
          <w:rFonts w:hint="cs"/>
          <w:rtl/>
        </w:rPr>
        <w:t>אישה</w:t>
      </w:r>
      <w:r>
        <w:rPr>
          <w:rFonts w:hint="cs"/>
          <w:rtl/>
        </w:rPr>
        <w:t xml:space="preserve"> יכול</w:t>
      </w:r>
      <w:r w:rsidR="000E4B33">
        <w:rPr>
          <w:rFonts w:hint="cs"/>
          <w:rtl/>
        </w:rPr>
        <w:t>ה</w:t>
      </w:r>
      <w:r>
        <w:rPr>
          <w:rFonts w:hint="cs"/>
          <w:rtl/>
        </w:rPr>
        <w:t xml:space="preserve"> לסלק </w:t>
      </w:r>
      <w:r w:rsidR="000E4B33">
        <w:rPr>
          <w:rFonts w:hint="cs"/>
          <w:rtl/>
        </w:rPr>
        <w:t xml:space="preserve">את </w:t>
      </w:r>
      <w:r>
        <w:rPr>
          <w:rFonts w:hint="cs"/>
          <w:rtl/>
        </w:rPr>
        <w:t>זכות</w:t>
      </w:r>
      <w:r w:rsidR="000E4B33">
        <w:rPr>
          <w:rFonts w:hint="cs"/>
          <w:rtl/>
        </w:rPr>
        <w:t xml:space="preserve"> הבעל</w:t>
      </w:r>
      <w:r>
        <w:rPr>
          <w:rFonts w:hint="cs"/>
          <w:rtl/>
        </w:rPr>
        <w:t xml:space="preserve"> למעשה ידיה, שאיננה זכות קניינית, באמירה בעלמא, אך אינ</w:t>
      </w:r>
      <w:r w:rsidR="000E4B33">
        <w:rPr>
          <w:rFonts w:hint="cs"/>
          <w:rtl/>
        </w:rPr>
        <w:t>ה</w:t>
      </w:r>
      <w:r>
        <w:rPr>
          <w:rFonts w:hint="cs"/>
          <w:rtl/>
        </w:rPr>
        <w:t xml:space="preserve"> יכול</w:t>
      </w:r>
      <w:r w:rsidR="000E4B33">
        <w:rPr>
          <w:rFonts w:hint="cs"/>
          <w:rtl/>
        </w:rPr>
        <w:t>ה</w:t>
      </w:r>
      <w:r>
        <w:rPr>
          <w:rFonts w:hint="cs"/>
          <w:rtl/>
        </w:rPr>
        <w:t xml:space="preserve"> לסלק</w:t>
      </w:r>
      <w:r w:rsidR="000E4B33">
        <w:rPr>
          <w:rFonts w:hint="cs"/>
          <w:rtl/>
        </w:rPr>
        <w:t>ו</w:t>
      </w:r>
      <w:r>
        <w:rPr>
          <w:rFonts w:hint="cs"/>
          <w:rtl/>
        </w:rPr>
        <w:t xml:space="preserve"> מהזכות הקניינית לפירות, ללא מעשה קניין בהסכמת שני הצדדים.</w:t>
      </w:r>
      <w:r>
        <w:rPr>
          <w:rStyle w:val="ac"/>
          <w:rFonts w:ascii="David" w:hAnsi="David"/>
          <w:sz w:val="24"/>
          <w:rtl/>
        </w:rPr>
        <w:footnoteReference w:id="16"/>
      </w:r>
      <w:r>
        <w:rPr>
          <w:rFonts w:hint="cs"/>
          <w:rtl/>
        </w:rPr>
        <w:t xml:space="preserve"> </w:t>
      </w:r>
    </w:p>
    <w:p w14:paraId="52FCA9AD" w14:textId="39E610C1" w:rsidR="00140EB0" w:rsidRDefault="000E4B33" w:rsidP="00E76D1D">
      <w:pPr>
        <w:pStyle w:val="-a"/>
        <w:rPr>
          <w:rtl/>
        </w:rPr>
      </w:pPr>
      <w:proofErr w:type="spellStart"/>
      <w:r>
        <w:rPr>
          <w:rFonts w:hint="cs"/>
          <w:rtl/>
        </w:rPr>
        <w:t>ה</w:t>
      </w:r>
      <w:r w:rsidR="00140EB0" w:rsidRPr="00CD678E">
        <w:rPr>
          <w:rFonts w:hint="cs"/>
          <w:rtl/>
        </w:rPr>
        <w:t>שו</w:t>
      </w:r>
      <w:r w:rsidR="00140EB0">
        <w:rPr>
          <w:rFonts w:hint="cs"/>
          <w:rtl/>
        </w:rPr>
        <w:t>"ע</w:t>
      </w:r>
      <w:proofErr w:type="spellEnd"/>
      <w:r w:rsidR="00140EB0">
        <w:rPr>
          <w:rFonts w:hint="cs"/>
          <w:rtl/>
        </w:rPr>
        <w:t xml:space="preserve"> </w:t>
      </w:r>
      <w:r>
        <w:rPr>
          <w:rFonts w:hint="cs"/>
          <w:rtl/>
        </w:rPr>
        <w:t>(</w:t>
      </w:r>
      <w:proofErr w:type="spellStart"/>
      <w:r>
        <w:rPr>
          <w:rFonts w:hint="cs"/>
          <w:rtl/>
        </w:rPr>
        <w:t>אה"ע</w:t>
      </w:r>
      <w:proofErr w:type="spellEnd"/>
      <w:r>
        <w:rPr>
          <w:rFonts w:hint="cs"/>
          <w:rtl/>
        </w:rPr>
        <w:t xml:space="preserve"> </w:t>
      </w:r>
      <w:proofErr w:type="spellStart"/>
      <w:r>
        <w:rPr>
          <w:rFonts w:hint="cs"/>
          <w:rtl/>
        </w:rPr>
        <w:t>סט,ה</w:t>
      </w:r>
      <w:proofErr w:type="spellEnd"/>
      <w:r>
        <w:rPr>
          <w:rFonts w:hint="cs"/>
          <w:rtl/>
        </w:rPr>
        <w:t>) פסק להלכה את דברי התוספות:</w:t>
      </w:r>
    </w:p>
    <w:p w14:paraId="156E5DC7" w14:textId="59552A8A" w:rsidR="00140EB0" w:rsidRPr="00990163" w:rsidRDefault="00140EB0" w:rsidP="00990163">
      <w:pPr>
        <w:pStyle w:val="afe"/>
        <w:rPr>
          <w:rtl/>
        </w:rPr>
      </w:pPr>
      <w:r w:rsidRPr="00990163">
        <w:rPr>
          <w:rFonts w:hint="cs"/>
          <w:rtl/>
        </w:rPr>
        <w:t>אם</w:t>
      </w:r>
      <w:r w:rsidRPr="00990163">
        <w:rPr>
          <w:rtl/>
        </w:rPr>
        <w:t xml:space="preserve"> </w:t>
      </w:r>
      <w:r w:rsidRPr="00990163">
        <w:rPr>
          <w:rFonts w:hint="cs"/>
          <w:rtl/>
        </w:rPr>
        <w:t>היא</w:t>
      </w:r>
      <w:r w:rsidRPr="00990163">
        <w:rPr>
          <w:rtl/>
        </w:rPr>
        <w:t xml:space="preserve"> </w:t>
      </w:r>
      <w:r w:rsidRPr="00990163">
        <w:rPr>
          <w:rFonts w:hint="cs"/>
          <w:rtl/>
        </w:rPr>
        <w:t>אומרת</w:t>
      </w:r>
      <w:r w:rsidRPr="00990163">
        <w:rPr>
          <w:rtl/>
        </w:rPr>
        <w:t xml:space="preserve">: </w:t>
      </w:r>
      <w:r w:rsidRPr="00990163">
        <w:rPr>
          <w:rFonts w:hint="cs"/>
          <w:rtl/>
        </w:rPr>
        <w:t>איני</w:t>
      </w:r>
      <w:r w:rsidRPr="00990163">
        <w:rPr>
          <w:rtl/>
        </w:rPr>
        <w:t xml:space="preserve"> </w:t>
      </w:r>
      <w:r w:rsidRPr="00990163">
        <w:rPr>
          <w:rFonts w:hint="cs"/>
          <w:rtl/>
        </w:rPr>
        <w:t>נותנת</w:t>
      </w:r>
      <w:r w:rsidRPr="00990163">
        <w:rPr>
          <w:rtl/>
        </w:rPr>
        <w:t xml:space="preserve"> </w:t>
      </w:r>
      <w:r w:rsidRPr="00990163">
        <w:rPr>
          <w:rFonts w:hint="cs"/>
          <w:rtl/>
        </w:rPr>
        <w:t>לך</w:t>
      </w:r>
      <w:r w:rsidRPr="00990163">
        <w:rPr>
          <w:rtl/>
        </w:rPr>
        <w:t xml:space="preserve"> </w:t>
      </w:r>
      <w:r w:rsidRPr="00990163">
        <w:rPr>
          <w:rFonts w:hint="cs"/>
          <w:rtl/>
        </w:rPr>
        <w:t>פירות</w:t>
      </w:r>
      <w:r w:rsidRPr="00990163">
        <w:rPr>
          <w:rtl/>
        </w:rPr>
        <w:t xml:space="preserve"> </w:t>
      </w:r>
      <w:r w:rsidRPr="00990163">
        <w:rPr>
          <w:rFonts w:hint="cs"/>
          <w:rtl/>
        </w:rPr>
        <w:t>ואיני</w:t>
      </w:r>
      <w:r w:rsidRPr="00990163">
        <w:rPr>
          <w:rtl/>
        </w:rPr>
        <w:t xml:space="preserve"> </w:t>
      </w:r>
      <w:r w:rsidRPr="00990163">
        <w:rPr>
          <w:rFonts w:hint="cs"/>
          <w:rtl/>
        </w:rPr>
        <w:t>חפצה</w:t>
      </w:r>
      <w:r w:rsidRPr="00990163">
        <w:rPr>
          <w:rtl/>
        </w:rPr>
        <w:t xml:space="preserve"> </w:t>
      </w:r>
      <w:r w:rsidRPr="00990163">
        <w:rPr>
          <w:rFonts w:hint="cs"/>
          <w:rtl/>
        </w:rPr>
        <w:t>שתפדני</w:t>
      </w:r>
      <w:r w:rsidRPr="00990163">
        <w:rPr>
          <w:rtl/>
        </w:rPr>
        <w:t xml:space="preserve"> </w:t>
      </w:r>
      <w:r w:rsidRPr="00990163">
        <w:rPr>
          <w:rFonts w:hint="cs"/>
          <w:rtl/>
        </w:rPr>
        <w:t>אם</w:t>
      </w:r>
      <w:r w:rsidRPr="00990163">
        <w:rPr>
          <w:rtl/>
        </w:rPr>
        <w:t xml:space="preserve"> </w:t>
      </w:r>
      <w:r w:rsidRPr="00990163">
        <w:rPr>
          <w:rFonts w:hint="cs"/>
          <w:rtl/>
        </w:rPr>
        <w:t>אשבה</w:t>
      </w:r>
      <w:r w:rsidRPr="00990163">
        <w:rPr>
          <w:rtl/>
        </w:rPr>
        <w:t xml:space="preserve">, </w:t>
      </w:r>
      <w:r w:rsidRPr="00990163">
        <w:rPr>
          <w:rFonts w:hint="cs"/>
          <w:rtl/>
        </w:rPr>
        <w:t>אין</w:t>
      </w:r>
      <w:r w:rsidRPr="00990163">
        <w:rPr>
          <w:rtl/>
        </w:rPr>
        <w:t xml:space="preserve"> </w:t>
      </w:r>
      <w:proofErr w:type="spellStart"/>
      <w:r w:rsidRPr="00990163">
        <w:rPr>
          <w:rFonts w:hint="cs"/>
          <w:rtl/>
        </w:rPr>
        <w:t>שומעין</w:t>
      </w:r>
      <w:proofErr w:type="spellEnd"/>
      <w:r w:rsidRPr="00990163">
        <w:rPr>
          <w:rtl/>
        </w:rPr>
        <w:t xml:space="preserve"> </w:t>
      </w:r>
      <w:r w:rsidRPr="00990163">
        <w:rPr>
          <w:rFonts w:hint="cs"/>
          <w:rtl/>
        </w:rPr>
        <w:t>לה</w:t>
      </w:r>
      <w:r w:rsidRPr="00990163">
        <w:rPr>
          <w:rtl/>
        </w:rPr>
        <w:t xml:space="preserve">, </w:t>
      </w:r>
      <w:r w:rsidRPr="00990163">
        <w:rPr>
          <w:rFonts w:hint="cs"/>
          <w:rtl/>
        </w:rPr>
        <w:t>כדי</w:t>
      </w:r>
      <w:r w:rsidRPr="00990163">
        <w:rPr>
          <w:rtl/>
        </w:rPr>
        <w:t xml:space="preserve"> </w:t>
      </w:r>
      <w:r w:rsidRPr="00990163">
        <w:rPr>
          <w:rFonts w:hint="cs"/>
          <w:rtl/>
        </w:rPr>
        <w:t>שלא</w:t>
      </w:r>
      <w:r w:rsidRPr="00990163">
        <w:rPr>
          <w:rtl/>
        </w:rPr>
        <w:t xml:space="preserve"> </w:t>
      </w:r>
      <w:r w:rsidRPr="00990163">
        <w:rPr>
          <w:rFonts w:hint="cs"/>
          <w:rtl/>
        </w:rPr>
        <w:t>תתערב</w:t>
      </w:r>
      <w:r w:rsidRPr="00990163">
        <w:rPr>
          <w:rtl/>
        </w:rPr>
        <w:t xml:space="preserve"> </w:t>
      </w:r>
      <w:r w:rsidRPr="00990163">
        <w:rPr>
          <w:rFonts w:hint="cs"/>
          <w:rtl/>
        </w:rPr>
        <w:t>בין</w:t>
      </w:r>
      <w:r w:rsidRPr="00990163">
        <w:rPr>
          <w:rtl/>
        </w:rPr>
        <w:t xml:space="preserve"> </w:t>
      </w:r>
      <w:r w:rsidRPr="00990163">
        <w:rPr>
          <w:rFonts w:hint="cs"/>
          <w:rtl/>
        </w:rPr>
        <w:t>העובדי</w:t>
      </w:r>
      <w:r w:rsidRPr="00990163">
        <w:rPr>
          <w:rtl/>
        </w:rPr>
        <w:t xml:space="preserve"> </w:t>
      </w:r>
      <w:r w:rsidRPr="00990163">
        <w:rPr>
          <w:rFonts w:hint="cs"/>
          <w:rtl/>
        </w:rPr>
        <w:t>כוכבים</w:t>
      </w:r>
      <w:r w:rsidRPr="00990163">
        <w:rPr>
          <w:rtl/>
        </w:rPr>
        <w:t>.</w:t>
      </w:r>
      <w:r w:rsidR="000E4B33" w:rsidRPr="00CD678E">
        <w:rPr>
          <w:rStyle w:val="ac"/>
          <w:rFonts w:ascii="David" w:hAnsi="David"/>
          <w:sz w:val="24"/>
          <w:rtl/>
        </w:rPr>
        <w:footnoteReference w:id="17"/>
      </w:r>
    </w:p>
    <w:p w14:paraId="46105E34" w14:textId="1572FA8F" w:rsidR="00140EB0" w:rsidRDefault="00140EB0" w:rsidP="00E76D1D">
      <w:pPr>
        <w:pStyle w:val="-a"/>
        <w:rPr>
          <w:rtl/>
        </w:rPr>
      </w:pPr>
      <w:r>
        <w:rPr>
          <w:rFonts w:hint="cs"/>
          <w:rtl/>
        </w:rPr>
        <w:lastRenderedPageBreak/>
        <w:t>גם בימינו כאשר כאמור, עיקר משמעות '</w:t>
      </w:r>
      <w:proofErr w:type="spellStart"/>
      <w:r>
        <w:rPr>
          <w:rFonts w:hint="cs"/>
          <w:rtl/>
        </w:rPr>
        <w:t>פרקונה</w:t>
      </w:r>
      <w:proofErr w:type="spellEnd"/>
      <w:r>
        <w:rPr>
          <w:rFonts w:hint="cs"/>
          <w:rtl/>
        </w:rPr>
        <w:t xml:space="preserve">' אינו פדיון מהשבי אלא תשלום על צורכי רפואה קצובה, פסק </w:t>
      </w:r>
      <w:proofErr w:type="spellStart"/>
      <w:r w:rsidR="000E4B33">
        <w:rPr>
          <w:rFonts w:hint="cs"/>
          <w:rtl/>
        </w:rPr>
        <w:t>הר"י</w:t>
      </w:r>
      <w:proofErr w:type="spellEnd"/>
      <w:r>
        <w:rPr>
          <w:rFonts w:hint="cs"/>
          <w:rtl/>
        </w:rPr>
        <w:t xml:space="preserve"> אריאל</w:t>
      </w:r>
      <w:r w:rsidR="000E4B33" w:rsidRPr="000E4B33">
        <w:rPr>
          <w:rtl/>
        </w:rPr>
        <w:t xml:space="preserve"> </w:t>
      </w:r>
      <w:r w:rsidR="000E4B33">
        <w:rPr>
          <w:rFonts w:hint="cs"/>
          <w:rtl/>
        </w:rPr>
        <w:t>(</w:t>
      </w:r>
      <w:r w:rsidR="000E4B33" w:rsidRPr="000E4B33">
        <w:rPr>
          <w:rtl/>
        </w:rPr>
        <w:t xml:space="preserve">'מבנה המשפחה המודרנית - השלכות הלכתיות', </w:t>
      </w:r>
      <w:proofErr w:type="spellStart"/>
      <w:r w:rsidR="000E4B33" w:rsidRPr="000E4B33">
        <w:rPr>
          <w:rtl/>
        </w:rPr>
        <w:t>תחומין</w:t>
      </w:r>
      <w:proofErr w:type="spellEnd"/>
      <w:r w:rsidR="000E4B33" w:rsidRPr="000E4B33">
        <w:rPr>
          <w:rtl/>
        </w:rPr>
        <w:t xml:space="preserve"> </w:t>
      </w:r>
      <w:proofErr w:type="spellStart"/>
      <w:r w:rsidR="000E4B33" w:rsidRPr="000E4B33">
        <w:rPr>
          <w:rtl/>
        </w:rPr>
        <w:t>כב</w:t>
      </w:r>
      <w:proofErr w:type="spellEnd"/>
      <w:r w:rsidR="000E4B33" w:rsidRPr="000E4B33">
        <w:rPr>
          <w:rtl/>
        </w:rPr>
        <w:t xml:space="preserve"> עמ' 129</w:t>
      </w:r>
      <w:r w:rsidR="000E4B33">
        <w:rPr>
          <w:rFonts w:hint="cs"/>
          <w:rtl/>
        </w:rPr>
        <w:t>),</w:t>
      </w:r>
      <w:r>
        <w:rPr>
          <w:rFonts w:hint="cs"/>
          <w:rtl/>
        </w:rPr>
        <w:t xml:space="preserve"> </w:t>
      </w:r>
      <w:r w:rsidR="000E4B33">
        <w:rPr>
          <w:rFonts w:hint="cs"/>
          <w:rtl/>
        </w:rPr>
        <w:t>ש</w:t>
      </w:r>
      <w:r>
        <w:rPr>
          <w:rFonts w:hint="cs"/>
          <w:rtl/>
        </w:rPr>
        <w:t xml:space="preserve">אישה אינה רשאית לוותר על זכותה למימון רפואה קצובה: </w:t>
      </w:r>
    </w:p>
    <w:p w14:paraId="7CFAD298" w14:textId="4E8892F3" w:rsidR="00140EB0" w:rsidRDefault="00140EB0" w:rsidP="00990163">
      <w:pPr>
        <w:pStyle w:val="afe"/>
        <w:rPr>
          <w:rtl/>
        </w:rPr>
      </w:pPr>
      <w:r w:rsidRPr="00990163">
        <w:rPr>
          <w:rtl/>
        </w:rPr>
        <w:t>ונראה לעניות דעתי שגם ברפואה שיש לה קצבה לא תוכל האישה לומר איני מתרפאת ואיני נותנת לך פרות. כי כשם ששקדו חז"ל על תקנת בנות ישראל שלא תטמענה בין הגויים</w:t>
      </w:r>
      <w:r w:rsidR="00280888">
        <w:rPr>
          <w:rFonts w:hint="cs"/>
          <w:rtl/>
        </w:rPr>
        <w:t>,</w:t>
      </w:r>
      <w:r w:rsidRPr="00990163">
        <w:rPr>
          <w:rtl/>
        </w:rPr>
        <w:t xml:space="preserve"> כך מסתבר לומר ששקדו על תקנתן שלא תסתכנה. ומה ההבדל בין פיקוח נפש רוחני לבין פיקוח נפש גופני?</w:t>
      </w:r>
    </w:p>
    <w:p w14:paraId="3D6E0C07" w14:textId="4086FA9B" w:rsidR="00140EB0" w:rsidRDefault="00140EB0" w:rsidP="00280888">
      <w:pPr>
        <w:rPr>
          <w:rtl/>
        </w:rPr>
      </w:pPr>
      <w:r>
        <w:rPr>
          <w:rFonts w:hint="cs"/>
          <w:rtl/>
        </w:rPr>
        <w:t xml:space="preserve">מכאן נראה, שחיוב האיש כלפי האישה </w:t>
      </w:r>
      <w:proofErr w:type="spellStart"/>
      <w:r>
        <w:rPr>
          <w:rFonts w:hint="cs"/>
          <w:rtl/>
        </w:rPr>
        <w:t>בפרקונה</w:t>
      </w:r>
      <w:proofErr w:type="spellEnd"/>
      <w:r w:rsidR="00280888">
        <w:rPr>
          <w:rFonts w:hint="cs"/>
          <w:rtl/>
        </w:rPr>
        <w:t>,</w:t>
      </w:r>
      <w:r>
        <w:rPr>
          <w:rFonts w:hint="cs"/>
          <w:rtl/>
        </w:rPr>
        <w:t xml:space="preserve"> אינו בגדר זכות ממונית רגילה, אשר ניתן לוותר עליה בהסכמה או בהסכמה מכללא, אלא יש פה תקנה </w:t>
      </w:r>
      <w:proofErr w:type="spellStart"/>
      <w:r>
        <w:rPr>
          <w:rFonts w:hint="cs"/>
          <w:rtl/>
        </w:rPr>
        <w:t>קוגנטית</w:t>
      </w:r>
      <w:proofErr w:type="spellEnd"/>
      <w:r>
        <w:rPr>
          <w:rFonts w:hint="cs"/>
          <w:rtl/>
        </w:rPr>
        <w:t xml:space="preserve"> שנועדה להגן על שלומה הבסיסי ביותר של האישה </w:t>
      </w:r>
      <w:r w:rsidR="00990163">
        <w:rPr>
          <w:rtl/>
        </w:rPr>
        <w:t>-</w:t>
      </w:r>
      <w:r>
        <w:rPr>
          <w:rFonts w:hint="cs"/>
          <w:rtl/>
        </w:rPr>
        <w:t xml:space="preserve"> שלא תיטמע בגויים ושלא תגיע לידי סכנת נפש בגין מחלה.</w:t>
      </w:r>
      <w:r>
        <w:rPr>
          <w:rStyle w:val="ac"/>
          <w:rFonts w:ascii="David" w:hAnsi="David"/>
          <w:sz w:val="24"/>
          <w:rtl/>
        </w:rPr>
        <w:footnoteReference w:id="18"/>
      </w:r>
      <w:r>
        <w:rPr>
          <w:rFonts w:hint="cs"/>
          <w:rtl/>
        </w:rPr>
        <w:t xml:space="preserve"> </w:t>
      </w:r>
    </w:p>
    <w:p w14:paraId="41D0374B" w14:textId="1BD881FC" w:rsidR="00140EB0" w:rsidRDefault="00140EB0" w:rsidP="00280888">
      <w:pPr>
        <w:rPr>
          <w:rtl/>
        </w:rPr>
      </w:pPr>
      <w:r>
        <w:rPr>
          <w:rFonts w:hint="cs"/>
          <w:rtl/>
        </w:rPr>
        <w:t>מכל מה שהתברר לעיל, עולה שכיוון ש</w:t>
      </w:r>
      <w:r w:rsidR="00280888">
        <w:rPr>
          <w:rFonts w:hint="cs"/>
          <w:rtl/>
        </w:rPr>
        <w:t>ל</w:t>
      </w:r>
      <w:r>
        <w:rPr>
          <w:rFonts w:hint="cs"/>
          <w:rtl/>
        </w:rPr>
        <w:t xml:space="preserve">כאורה </w:t>
      </w:r>
      <w:r w:rsidR="00280888">
        <w:rPr>
          <w:rFonts w:hint="cs"/>
          <w:rtl/>
        </w:rPr>
        <w:t xml:space="preserve">אישה </w:t>
      </w:r>
      <w:r>
        <w:rPr>
          <w:rFonts w:hint="cs"/>
          <w:rtl/>
        </w:rPr>
        <w:t xml:space="preserve">אינה יכולה לוותר על תקנת </w:t>
      </w:r>
      <w:proofErr w:type="spellStart"/>
      <w:r>
        <w:rPr>
          <w:rFonts w:hint="cs"/>
          <w:rtl/>
        </w:rPr>
        <w:t>פרקונה</w:t>
      </w:r>
      <w:proofErr w:type="spellEnd"/>
      <w:r>
        <w:rPr>
          <w:rFonts w:hint="cs"/>
          <w:rtl/>
        </w:rPr>
        <w:t>, הרי שפירות נכסיה שייכים לבעלה ויש לו אף זכות עתידית בגוף הנכס. מכאן שמעיקר הדין בכל מחלוקת בנוגע לדמי השכירות של דירה כזו או לגופה, יש צורך בחתימה של שני בני הזוג על הסכם הבוררות.</w:t>
      </w:r>
    </w:p>
    <w:p w14:paraId="6BE60E69" w14:textId="776044A1" w:rsidR="00140EB0" w:rsidRPr="002F75E8" w:rsidRDefault="00140EB0" w:rsidP="00140EB0">
      <w:pPr>
        <w:rPr>
          <w:rtl/>
        </w:rPr>
      </w:pPr>
      <w:r>
        <w:rPr>
          <w:rFonts w:hint="cs"/>
          <w:rtl/>
        </w:rPr>
        <w:t>כמו הזכות לפירות</w:t>
      </w:r>
      <w:r w:rsidR="00280888">
        <w:rPr>
          <w:rFonts w:hint="cs"/>
          <w:rtl/>
        </w:rPr>
        <w:t>,</w:t>
      </w:r>
      <w:r>
        <w:rPr>
          <w:rFonts w:hint="cs"/>
          <w:rtl/>
        </w:rPr>
        <w:t xml:space="preserve"> גם הזכות על פי תקנת </w:t>
      </w:r>
      <w:proofErr w:type="spellStart"/>
      <w:r>
        <w:rPr>
          <w:rFonts w:hint="cs"/>
          <w:rtl/>
        </w:rPr>
        <w:t>אושא</w:t>
      </w:r>
      <w:proofErr w:type="spellEnd"/>
      <w:r>
        <w:rPr>
          <w:rFonts w:hint="cs"/>
          <w:rtl/>
        </w:rPr>
        <w:t xml:space="preserve"> מוקנית לבעל מכוח הנישואין, ואין הוא יכול לוותר עליה במהלך הנישואין באופן חד צדדי. זאת כמו כל זכות בנכס, ש</w:t>
      </w:r>
      <w:r w:rsidR="00280888">
        <w:rPr>
          <w:rFonts w:hint="cs"/>
          <w:rtl/>
        </w:rPr>
        <w:t>כדי</w:t>
      </w:r>
      <w:r>
        <w:rPr>
          <w:rFonts w:hint="cs"/>
          <w:rtl/>
        </w:rPr>
        <w:t xml:space="preserve"> להסתלק ממנה או להקנותה לאחר, יש צורך </w:t>
      </w:r>
      <w:r w:rsidR="00280888">
        <w:rPr>
          <w:rFonts w:hint="cs"/>
          <w:rtl/>
        </w:rPr>
        <w:t>ב</w:t>
      </w:r>
      <w:r>
        <w:rPr>
          <w:rFonts w:hint="cs"/>
          <w:rtl/>
        </w:rPr>
        <w:t>מעשה קניין.</w:t>
      </w:r>
      <w:r>
        <w:rPr>
          <w:rStyle w:val="ac"/>
          <w:rtl/>
        </w:rPr>
        <w:footnoteReference w:id="19"/>
      </w:r>
      <w:r>
        <w:rPr>
          <w:rFonts w:hint="cs"/>
          <w:rtl/>
        </w:rPr>
        <w:t xml:space="preserve"> </w:t>
      </w:r>
    </w:p>
    <w:p w14:paraId="7E564C09" w14:textId="3AF82CD8" w:rsidR="00140EB0" w:rsidRDefault="00140EB0" w:rsidP="00140EB0">
      <w:pPr>
        <w:pStyle w:val="5"/>
        <w:rPr>
          <w:rtl/>
        </w:rPr>
      </w:pPr>
      <w:bookmarkStart w:id="47" w:name="_Toc144388065"/>
      <w:bookmarkStart w:id="48" w:name="_Toc144388130"/>
      <w:bookmarkStart w:id="49" w:name="_Toc144388066"/>
      <w:bookmarkStart w:id="50" w:name="_Toc144388131"/>
      <w:bookmarkStart w:id="51" w:name="_Toc144388067"/>
      <w:bookmarkStart w:id="52" w:name="_Toc144388132"/>
      <w:bookmarkStart w:id="53" w:name="_Toc144388068"/>
      <w:bookmarkStart w:id="54" w:name="_Toc144388133"/>
      <w:bookmarkStart w:id="55" w:name="_Toc145602400"/>
      <w:bookmarkStart w:id="56" w:name="_Toc146058271"/>
      <w:bookmarkStart w:id="57" w:name="_Toc168268749"/>
      <w:bookmarkStart w:id="58" w:name="_Toc168327354"/>
      <w:bookmarkEnd w:id="47"/>
      <w:bookmarkEnd w:id="48"/>
      <w:bookmarkEnd w:id="49"/>
      <w:bookmarkEnd w:id="50"/>
      <w:bookmarkEnd w:id="51"/>
      <w:bookmarkEnd w:id="52"/>
      <w:bookmarkEnd w:id="53"/>
      <w:bookmarkEnd w:id="54"/>
      <w:r>
        <w:rPr>
          <w:rFonts w:hint="cs"/>
          <w:rtl/>
        </w:rPr>
        <w:t>4. אופני ויתור על הזכות לפירות</w:t>
      </w:r>
      <w:bookmarkEnd w:id="55"/>
      <w:bookmarkEnd w:id="56"/>
      <w:bookmarkEnd w:id="57"/>
      <w:bookmarkEnd w:id="58"/>
    </w:p>
    <w:p w14:paraId="4FAFFD57" w14:textId="7180DF43" w:rsidR="00140EB0" w:rsidRDefault="00140EB0" w:rsidP="00E76D1D">
      <w:pPr>
        <w:pStyle w:val="-a"/>
        <w:rPr>
          <w:rtl/>
        </w:rPr>
      </w:pPr>
      <w:r>
        <w:rPr>
          <w:rFonts w:hint="cs"/>
          <w:rtl/>
        </w:rPr>
        <w:t xml:space="preserve">למרות הנאמר עד כה, קבעו חכמים שהבעל יכול לוותר על זכותו </w:t>
      </w:r>
      <w:r w:rsidRPr="00990163">
        <w:rPr>
          <w:rStyle w:val="aff"/>
          <w:rFonts w:hint="cs"/>
          <w:rtl/>
        </w:rPr>
        <w:t>בנכסי מלוג באחת משתי דרכים</w:t>
      </w:r>
      <w:r>
        <w:rPr>
          <w:rFonts w:hint="cs"/>
          <w:rtl/>
        </w:rPr>
        <w:t>. במשנה</w:t>
      </w:r>
      <w:r w:rsidR="00280888">
        <w:rPr>
          <w:rFonts w:hint="cs"/>
          <w:rtl/>
        </w:rPr>
        <w:t xml:space="preserve"> (כתובות </w:t>
      </w:r>
      <w:proofErr w:type="spellStart"/>
      <w:r w:rsidR="00280888">
        <w:rPr>
          <w:rFonts w:hint="cs"/>
          <w:rtl/>
        </w:rPr>
        <w:t>פג,א</w:t>
      </w:r>
      <w:proofErr w:type="spellEnd"/>
      <w:r w:rsidR="00280888">
        <w:rPr>
          <w:rFonts w:hint="cs"/>
          <w:rtl/>
        </w:rPr>
        <w:t>)</w:t>
      </w:r>
      <w:r>
        <w:rPr>
          <w:rFonts w:hint="cs"/>
          <w:rtl/>
        </w:rPr>
        <w:t xml:space="preserve"> נכתב:</w:t>
      </w:r>
    </w:p>
    <w:p w14:paraId="2D96C70D" w14:textId="18B7FD86" w:rsidR="00140EB0" w:rsidRDefault="00140EB0" w:rsidP="00990163">
      <w:pPr>
        <w:pStyle w:val="afe"/>
        <w:rPr>
          <w:rtl/>
        </w:rPr>
      </w:pPr>
      <w:r w:rsidRPr="00990163">
        <w:rPr>
          <w:rtl/>
        </w:rPr>
        <w:t>כתב לה</w:t>
      </w:r>
      <w:r w:rsidRPr="00990163">
        <w:rPr>
          <w:rFonts w:hint="cs"/>
          <w:rtl/>
        </w:rPr>
        <w:t>:</w:t>
      </w:r>
      <w:r w:rsidRPr="00990163">
        <w:rPr>
          <w:rtl/>
        </w:rPr>
        <w:t xml:space="preserve"> דין ודברים אין לי בנכסיך ובפירותיהן</w:t>
      </w:r>
      <w:r w:rsidR="00280888">
        <w:rPr>
          <w:rFonts w:hint="cs"/>
          <w:rtl/>
        </w:rPr>
        <w:t>,</w:t>
      </w:r>
      <w:r w:rsidRPr="00990163">
        <w:rPr>
          <w:rtl/>
        </w:rPr>
        <w:t xml:space="preserve"> הרי זה אינו אוכל פירות בחייה</w:t>
      </w:r>
      <w:r w:rsidR="00280888">
        <w:rPr>
          <w:rFonts w:hint="cs"/>
          <w:rtl/>
        </w:rPr>
        <w:t>,</w:t>
      </w:r>
      <w:r w:rsidRPr="00990163">
        <w:rPr>
          <w:rtl/>
        </w:rPr>
        <w:t xml:space="preserve"> ואם מתה יורשה</w:t>
      </w:r>
      <w:r w:rsidR="00280888">
        <w:rPr>
          <w:rFonts w:hint="cs"/>
          <w:rtl/>
        </w:rPr>
        <w:t xml:space="preserve">... </w:t>
      </w:r>
      <w:r w:rsidRPr="00990163">
        <w:rPr>
          <w:rtl/>
        </w:rPr>
        <w:t xml:space="preserve">כתב לה דין ודברים אין לי בנכסיך ובפירותיהן </w:t>
      </w:r>
      <w:proofErr w:type="spellStart"/>
      <w:r w:rsidRPr="00990163">
        <w:rPr>
          <w:rtl/>
        </w:rPr>
        <w:t>ובפירי</w:t>
      </w:r>
      <w:proofErr w:type="spellEnd"/>
      <w:r w:rsidRPr="00990163">
        <w:rPr>
          <w:rtl/>
        </w:rPr>
        <w:t xml:space="preserve"> פירותיהן בחייך ובמותך</w:t>
      </w:r>
      <w:r w:rsidR="00280888">
        <w:rPr>
          <w:rFonts w:hint="cs"/>
          <w:rtl/>
        </w:rPr>
        <w:t>,</w:t>
      </w:r>
      <w:r w:rsidRPr="00990163">
        <w:rPr>
          <w:rtl/>
        </w:rPr>
        <w:t xml:space="preserve"> אינו אוכל פירות בחייה</w:t>
      </w:r>
      <w:r w:rsidR="00280888">
        <w:rPr>
          <w:rFonts w:hint="cs"/>
          <w:rtl/>
        </w:rPr>
        <w:t>,</w:t>
      </w:r>
      <w:r w:rsidRPr="00990163">
        <w:rPr>
          <w:rtl/>
        </w:rPr>
        <w:t xml:space="preserve"> ואם מתה אינו יורשה.</w:t>
      </w:r>
    </w:p>
    <w:p w14:paraId="0C5F0C67" w14:textId="77777777" w:rsidR="00140EB0" w:rsidRDefault="00140EB0" w:rsidP="00140EB0">
      <w:pPr>
        <w:rPr>
          <w:rtl/>
        </w:rPr>
      </w:pPr>
      <w:r>
        <w:rPr>
          <w:rFonts w:hint="cs"/>
          <w:rtl/>
        </w:rPr>
        <w:t>המשנה עוסקת בוויתור על זכות הבעל לאכול פירות ולמנוע את מכירתם לאחר, כמו גם זכות הבעל לירושת אשתו. ראשונים ואחרונים</w:t>
      </w:r>
      <w:r>
        <w:rPr>
          <w:rStyle w:val="ac"/>
          <w:rtl/>
        </w:rPr>
        <w:footnoteReference w:id="20"/>
      </w:r>
      <w:r>
        <w:rPr>
          <w:rFonts w:hint="cs"/>
          <w:rtl/>
        </w:rPr>
        <w:t xml:space="preserve"> הוסיפו את יכולת הבעל לוותר על זכות ביטול המקח מתקנת </w:t>
      </w:r>
      <w:proofErr w:type="spellStart"/>
      <w:r>
        <w:rPr>
          <w:rFonts w:hint="cs"/>
          <w:rtl/>
        </w:rPr>
        <w:t>אושא</w:t>
      </w:r>
      <w:proofErr w:type="spellEnd"/>
      <w:r>
        <w:rPr>
          <w:rFonts w:hint="cs"/>
          <w:rtl/>
        </w:rPr>
        <w:t>.</w:t>
      </w:r>
    </w:p>
    <w:p w14:paraId="356B7441" w14:textId="505E3CAD" w:rsidR="00140EB0" w:rsidRDefault="00140EB0" w:rsidP="00140EB0">
      <w:pPr>
        <w:rPr>
          <w:rtl/>
        </w:rPr>
      </w:pPr>
      <w:r>
        <w:rPr>
          <w:rFonts w:hint="cs"/>
          <w:rtl/>
        </w:rPr>
        <w:t>הגמרא (שם) מבהירה</w:t>
      </w:r>
      <w:r w:rsidR="00280888">
        <w:rPr>
          <w:rFonts w:hint="cs"/>
          <w:rtl/>
        </w:rPr>
        <w:t>,</w:t>
      </w:r>
      <w:r>
        <w:rPr>
          <w:rFonts w:hint="cs"/>
          <w:rtl/>
        </w:rPr>
        <w:t xml:space="preserve"> </w:t>
      </w:r>
      <w:r w:rsidR="00280888">
        <w:rPr>
          <w:rFonts w:hint="cs"/>
          <w:rtl/>
        </w:rPr>
        <w:t>ש</w:t>
      </w:r>
      <w:r>
        <w:rPr>
          <w:rFonts w:hint="cs"/>
          <w:rtl/>
        </w:rPr>
        <w:t xml:space="preserve">מדובר במי שמסתלק מזכותו בין הקידושין לבין הנישואין, </w:t>
      </w:r>
      <w:r w:rsidR="00CC5B89">
        <w:rPr>
          <w:rFonts w:hint="cs"/>
          <w:rtl/>
        </w:rPr>
        <w:t xml:space="preserve">אולם לאחר הנישואין אין די בסילוק גרידא. </w:t>
      </w:r>
      <w:r>
        <w:rPr>
          <w:rFonts w:hint="cs"/>
          <w:rtl/>
        </w:rPr>
        <w:t xml:space="preserve">כך נפסק בשולחן ערוך </w:t>
      </w:r>
      <w:r w:rsidR="006D565A">
        <w:rPr>
          <w:rFonts w:hint="cs"/>
          <w:rtl/>
        </w:rPr>
        <w:t>(</w:t>
      </w:r>
      <w:proofErr w:type="spellStart"/>
      <w:r w:rsidR="006D565A">
        <w:rPr>
          <w:rFonts w:hint="cs"/>
          <w:rtl/>
        </w:rPr>
        <w:t>אה"ע</w:t>
      </w:r>
      <w:proofErr w:type="spellEnd"/>
      <w:r w:rsidR="006D565A">
        <w:rPr>
          <w:rFonts w:hint="cs"/>
          <w:rtl/>
        </w:rPr>
        <w:t xml:space="preserve"> </w:t>
      </w:r>
      <w:proofErr w:type="spellStart"/>
      <w:r w:rsidR="006D565A">
        <w:rPr>
          <w:rFonts w:hint="cs"/>
          <w:rtl/>
        </w:rPr>
        <w:t>צב,א</w:t>
      </w:r>
      <w:proofErr w:type="spellEnd"/>
      <w:r w:rsidR="006D565A">
        <w:rPr>
          <w:rFonts w:hint="cs"/>
          <w:rtl/>
        </w:rPr>
        <w:t>), ש</w:t>
      </w:r>
      <w:r>
        <w:rPr>
          <w:rFonts w:hint="cs"/>
          <w:rtl/>
        </w:rPr>
        <w:t>הבעל יכול לוותר על זכותו לנכסי מלוג ב</w:t>
      </w:r>
      <w:r w:rsidR="00CC5B89">
        <w:rPr>
          <w:rFonts w:hint="cs"/>
          <w:rtl/>
        </w:rPr>
        <w:t>אחד משני אופנים</w:t>
      </w:r>
      <w:r>
        <w:rPr>
          <w:rFonts w:hint="cs"/>
          <w:rtl/>
        </w:rPr>
        <w:t>:</w:t>
      </w:r>
    </w:p>
    <w:p w14:paraId="7657BB39" w14:textId="4EC65D71" w:rsidR="00140EB0" w:rsidRDefault="00990163" w:rsidP="00990163">
      <w:pPr>
        <w:pStyle w:val="7"/>
      </w:pPr>
      <w:r>
        <w:rPr>
          <w:rFonts w:hint="cs"/>
          <w:rtl/>
        </w:rPr>
        <w:t>1.</w:t>
      </w:r>
      <w:r>
        <w:rPr>
          <w:rtl/>
        </w:rPr>
        <w:tab/>
      </w:r>
      <w:r w:rsidR="00140EB0">
        <w:rPr>
          <w:rFonts w:hint="cs"/>
          <w:rtl/>
        </w:rPr>
        <w:t xml:space="preserve">אם ויתר על זכותו לאחר הקידושין וטרם הנישואין, כאשר כבר נוצרת הזיקה המשפטית בין בני הזוג, אולם לאיש אין עדיין זכות קניינית בנכסים. </w:t>
      </w:r>
    </w:p>
    <w:p w14:paraId="1EB68334" w14:textId="6E5444F6" w:rsidR="00140EB0" w:rsidRDefault="00990163" w:rsidP="00990163">
      <w:pPr>
        <w:pStyle w:val="7"/>
      </w:pPr>
      <w:r>
        <w:rPr>
          <w:rFonts w:hint="cs"/>
          <w:rtl/>
        </w:rPr>
        <w:t>2.</w:t>
      </w:r>
      <w:r>
        <w:rPr>
          <w:rtl/>
        </w:rPr>
        <w:tab/>
      </w:r>
      <w:r w:rsidR="00CC5B89">
        <w:rPr>
          <w:rFonts w:hint="cs"/>
          <w:rtl/>
        </w:rPr>
        <w:t>אם ויתר על זכותו לאחר הנישואין</w:t>
      </w:r>
      <w:r w:rsidR="006D565A">
        <w:rPr>
          <w:rFonts w:hint="cs"/>
          <w:rtl/>
        </w:rPr>
        <w:t>,</w:t>
      </w:r>
      <w:r w:rsidR="00CC5B89">
        <w:rPr>
          <w:rFonts w:hint="cs"/>
          <w:rtl/>
        </w:rPr>
        <w:t xml:space="preserve"> וביצע מעשה קניין על ויתור זה. </w:t>
      </w:r>
    </w:p>
    <w:p w14:paraId="5AD4215B" w14:textId="77777777" w:rsidR="00140EB0" w:rsidRDefault="00140EB0" w:rsidP="00140EB0">
      <w:pPr>
        <w:rPr>
          <w:rtl/>
        </w:rPr>
      </w:pPr>
      <w:r>
        <w:rPr>
          <w:rFonts w:hint="cs"/>
          <w:rtl/>
        </w:rPr>
        <w:lastRenderedPageBreak/>
        <w:t xml:space="preserve">מכאן, שאם הבעל לא ויתר על זכותו בפירות הנכס ועל זכות ביטול מכירתו באופנים אלו, יש לכאורה להחתים אותו על הסכם בוררות בכל הנוגע לסכסוך הנוגע לפירות הדירה, וכן אם יתקיים דיון על תוקפה של מכירת הדירה על ידי האישה (כיוון שאם לא יהיה מעורב, יוכל לקחת מהקונה את הדירה לאחר פטירת האישה). </w:t>
      </w:r>
    </w:p>
    <w:p w14:paraId="17107422" w14:textId="6B881198" w:rsidR="00140EB0" w:rsidRDefault="006D565A" w:rsidP="00140EB0">
      <w:pPr>
        <w:rPr>
          <w:rtl/>
        </w:rPr>
      </w:pPr>
      <w:r>
        <w:rPr>
          <w:rFonts w:hint="cs"/>
          <w:rtl/>
        </w:rPr>
        <w:t xml:space="preserve">כך על פי ההלכה הפשוטה. </w:t>
      </w:r>
      <w:r w:rsidR="00140EB0">
        <w:rPr>
          <w:rFonts w:hint="cs"/>
          <w:rtl/>
        </w:rPr>
        <w:t xml:space="preserve">אולם </w:t>
      </w:r>
      <w:r>
        <w:rPr>
          <w:rFonts w:hint="cs"/>
          <w:rtl/>
        </w:rPr>
        <w:t>לעיל ראינו, ש</w:t>
      </w:r>
      <w:r w:rsidR="00140EB0">
        <w:rPr>
          <w:rFonts w:hint="cs"/>
          <w:rtl/>
        </w:rPr>
        <w:t>חוק שיווי זכויות האישה קובע</w:t>
      </w:r>
      <w:r>
        <w:rPr>
          <w:rFonts w:hint="cs"/>
          <w:rtl/>
        </w:rPr>
        <w:t>,</w:t>
      </w:r>
      <w:r w:rsidR="00140EB0">
        <w:rPr>
          <w:rFonts w:hint="cs"/>
          <w:rtl/>
        </w:rPr>
        <w:t xml:space="preserve"> כי </w:t>
      </w:r>
      <w:r w:rsidR="00140EB0">
        <w:rPr>
          <w:rtl/>
        </w:rPr>
        <w:t>אין בנישואין כדי לפגוע בקנ</w:t>
      </w:r>
      <w:r w:rsidR="00140EB0">
        <w:rPr>
          <w:rFonts w:hint="cs"/>
          <w:rtl/>
        </w:rPr>
        <w:t>י</w:t>
      </w:r>
      <w:r w:rsidR="00140EB0">
        <w:rPr>
          <w:rtl/>
        </w:rPr>
        <w:t xml:space="preserve">ינים של בני הזוג </w:t>
      </w:r>
      <w:r w:rsidR="00140EB0">
        <w:rPr>
          <w:rFonts w:hint="cs"/>
          <w:rtl/>
        </w:rPr>
        <w:t>ו</w:t>
      </w:r>
      <w:r w:rsidR="00140EB0">
        <w:rPr>
          <w:rtl/>
        </w:rPr>
        <w:t>להקנות לאחד מהם זכויות בנכסי השני</w:t>
      </w:r>
      <w:r w:rsidR="00140EB0">
        <w:rPr>
          <w:rFonts w:hint="cs"/>
          <w:rtl/>
        </w:rPr>
        <w:t>.</w:t>
      </w:r>
      <w:r w:rsidR="00140EB0" w:rsidRPr="00990163">
        <w:rPr>
          <w:rStyle w:val="aff"/>
          <w:rFonts w:hint="cs"/>
          <w:rtl/>
        </w:rPr>
        <w:t xml:space="preserve"> ייתכן ש</w:t>
      </w:r>
      <w:r w:rsidR="00140EB0">
        <w:rPr>
          <w:rFonts w:hint="cs"/>
          <w:rtl/>
        </w:rPr>
        <w:t xml:space="preserve">לאור המנהג הרווח המשתקף בחוק, </w:t>
      </w:r>
      <w:r>
        <w:rPr>
          <w:rFonts w:hint="cs"/>
          <w:rtl/>
        </w:rPr>
        <w:t>כל עוד</w:t>
      </w:r>
      <w:r w:rsidR="00140EB0">
        <w:rPr>
          <w:rFonts w:hint="cs"/>
          <w:rtl/>
        </w:rPr>
        <w:t xml:space="preserve"> לא נאמר בין הצדדים במפורש אחרת, הם נישאים מתוך הנחה שפירות דירה שכורה הרשומה על שם האישה ונכנסים לחשבון הרשום רק על שמה, הם שלה באופן בלעדי</w:t>
      </w:r>
      <w:r>
        <w:rPr>
          <w:rFonts w:hint="cs"/>
          <w:rtl/>
        </w:rPr>
        <w:t xml:space="preserve"> (וכאילו הבעל הסתלק במפורש מהנכסים)</w:t>
      </w:r>
      <w:r w:rsidR="00140EB0">
        <w:rPr>
          <w:rFonts w:hint="cs"/>
          <w:rtl/>
        </w:rPr>
        <w:t>.</w:t>
      </w:r>
    </w:p>
    <w:p w14:paraId="6D43E82F" w14:textId="54B20EF9" w:rsidR="00140EB0" w:rsidRDefault="00140EB0" w:rsidP="00990163">
      <w:pPr>
        <w:rPr>
          <w:rtl/>
        </w:rPr>
      </w:pPr>
      <w:r>
        <w:rPr>
          <w:rFonts w:hint="cs"/>
          <w:rtl/>
        </w:rPr>
        <w:t>יצוין כי מציאות כזו בה האישה מחזיקה דירה בבעלותה הבלעדי</w:t>
      </w:r>
      <w:r w:rsidR="006D565A">
        <w:rPr>
          <w:rFonts w:hint="cs"/>
          <w:rtl/>
        </w:rPr>
        <w:t xml:space="preserve">ת, </w:t>
      </w:r>
      <w:r>
        <w:rPr>
          <w:rFonts w:hint="cs"/>
          <w:rtl/>
        </w:rPr>
        <w:t>ודמי השכירות נשארים בחשבון הפרטי שלה</w:t>
      </w:r>
      <w:r w:rsidR="006D565A">
        <w:rPr>
          <w:rFonts w:hint="cs"/>
          <w:rtl/>
        </w:rPr>
        <w:t>,</w:t>
      </w:r>
      <w:r>
        <w:rPr>
          <w:rFonts w:hint="cs"/>
          <w:rtl/>
        </w:rPr>
        <w:t xml:space="preserve"> מאפיינת בדרך כלל זוגות שמתחתנים בגיל מבוגר יחסית או בנישואים שניים. במקרים כאלה</w:t>
      </w:r>
      <w:r w:rsidR="006D565A">
        <w:rPr>
          <w:rFonts w:hint="cs"/>
          <w:rtl/>
        </w:rPr>
        <w:t>,</w:t>
      </w:r>
      <w:r>
        <w:rPr>
          <w:rFonts w:hint="cs"/>
          <w:rtl/>
        </w:rPr>
        <w:t xml:space="preserve"> בני הזוג לרוב מודעים לזכויות הממוניות שלהם על פי החוק</w:t>
      </w:r>
      <w:r w:rsidR="006D565A">
        <w:rPr>
          <w:rFonts w:hint="cs"/>
          <w:rtl/>
        </w:rPr>
        <w:t>. ממילא</w:t>
      </w:r>
      <w:r>
        <w:rPr>
          <w:rFonts w:hint="cs"/>
          <w:rtl/>
        </w:rPr>
        <w:t xml:space="preserve"> הבעל יודע ש</w:t>
      </w:r>
      <w:r w:rsidR="006D565A">
        <w:rPr>
          <w:rFonts w:hint="cs"/>
          <w:rtl/>
        </w:rPr>
        <w:t xml:space="preserve">על פי חוק </w:t>
      </w:r>
      <w:r>
        <w:rPr>
          <w:rFonts w:hint="cs"/>
          <w:rtl/>
        </w:rPr>
        <w:t>הוא אינו זכאי לפירות נכסיה של אשתו</w:t>
      </w:r>
      <w:r w:rsidR="006D565A">
        <w:rPr>
          <w:rFonts w:hint="cs"/>
          <w:rtl/>
        </w:rPr>
        <w:t>,</w:t>
      </w:r>
      <w:r>
        <w:rPr>
          <w:rFonts w:hint="cs"/>
          <w:rtl/>
        </w:rPr>
        <w:t xml:space="preserve"> </w:t>
      </w:r>
      <w:r w:rsidRPr="007D4BB8">
        <w:rPr>
          <w:rFonts w:hint="cs"/>
          <w:b/>
          <w:bCs/>
          <w:rtl/>
        </w:rPr>
        <w:t xml:space="preserve">ועל דעת </w:t>
      </w:r>
      <w:r>
        <w:rPr>
          <w:rFonts w:hint="cs"/>
          <w:rtl/>
        </w:rPr>
        <w:t xml:space="preserve">זה הם נישאים. יש לבחון האם במקרים אלה, ניתן לייחס ויתור מכללא של האיש על הנכס ועל פירותיו. </w:t>
      </w:r>
    </w:p>
    <w:p w14:paraId="612F36E1" w14:textId="38294F94" w:rsidR="00140EB0" w:rsidRPr="00CD678E" w:rsidRDefault="00140EB0" w:rsidP="00E76D1D">
      <w:pPr>
        <w:pStyle w:val="-a"/>
        <w:rPr>
          <w:rtl/>
        </w:rPr>
      </w:pPr>
      <w:r>
        <w:rPr>
          <w:rFonts w:hint="cs"/>
          <w:rtl/>
        </w:rPr>
        <w:t xml:space="preserve">בעניין זה יש מחלוקת פוסקים. </w:t>
      </w:r>
      <w:proofErr w:type="spellStart"/>
      <w:r w:rsidRPr="00CD678E">
        <w:rPr>
          <w:rFonts w:hint="cs"/>
          <w:rtl/>
        </w:rPr>
        <w:t>הר</w:t>
      </w:r>
      <w:r w:rsidR="006D565A">
        <w:rPr>
          <w:rFonts w:hint="cs"/>
          <w:rtl/>
        </w:rPr>
        <w:t>"י</w:t>
      </w:r>
      <w:proofErr w:type="spellEnd"/>
      <w:r w:rsidRPr="00CD678E">
        <w:rPr>
          <w:rFonts w:hint="cs"/>
          <w:rtl/>
        </w:rPr>
        <w:t xml:space="preserve"> אריאל </w:t>
      </w:r>
      <w:r w:rsidR="006D565A">
        <w:rPr>
          <w:rFonts w:hint="cs"/>
          <w:rtl/>
        </w:rPr>
        <w:t xml:space="preserve">(במאמרו הנ"ל </w:t>
      </w:r>
      <w:proofErr w:type="spellStart"/>
      <w:r w:rsidR="006D565A">
        <w:rPr>
          <w:rFonts w:hint="cs"/>
          <w:rtl/>
        </w:rPr>
        <w:t>בתחומין</w:t>
      </w:r>
      <w:proofErr w:type="spellEnd"/>
      <w:r w:rsidR="006D565A">
        <w:rPr>
          <w:rFonts w:hint="cs"/>
          <w:rtl/>
        </w:rPr>
        <w:t xml:space="preserve">) </w:t>
      </w:r>
      <w:r>
        <w:rPr>
          <w:rFonts w:hint="cs"/>
          <w:rtl/>
        </w:rPr>
        <w:t>סובר</w:t>
      </w:r>
      <w:r w:rsidR="006D565A">
        <w:rPr>
          <w:rFonts w:hint="cs"/>
          <w:rtl/>
        </w:rPr>
        <w:t>,</w:t>
      </w:r>
      <w:r>
        <w:rPr>
          <w:rFonts w:hint="cs"/>
          <w:rtl/>
        </w:rPr>
        <w:t xml:space="preserve"> שכיוון שגם </w:t>
      </w:r>
      <w:r w:rsidRPr="00CD678E">
        <w:rPr>
          <w:rFonts w:hint="cs"/>
          <w:rtl/>
        </w:rPr>
        <w:t xml:space="preserve">אם הבעל ויתר על זכותו לפירות נכסיה, הוא נותר חייב </w:t>
      </w:r>
      <w:proofErr w:type="spellStart"/>
      <w:r w:rsidRPr="00CD678E">
        <w:rPr>
          <w:rFonts w:hint="cs"/>
          <w:rtl/>
        </w:rPr>
        <w:t>בפרקונה</w:t>
      </w:r>
      <w:proofErr w:type="spellEnd"/>
      <w:r w:rsidRPr="00CD678E">
        <w:rPr>
          <w:rFonts w:hint="cs"/>
          <w:rtl/>
        </w:rPr>
        <w:t xml:space="preserve">, לא יתכן לייחס לו ויתור חד צדדי </w:t>
      </w:r>
      <w:r>
        <w:rPr>
          <w:rFonts w:hint="cs"/>
          <w:rtl/>
        </w:rPr>
        <w:t xml:space="preserve">מכללא </w:t>
      </w:r>
      <w:r w:rsidRPr="00CD678E">
        <w:rPr>
          <w:rFonts w:hint="cs"/>
          <w:rtl/>
        </w:rPr>
        <w:t xml:space="preserve">על זכותו </w:t>
      </w:r>
      <w:r>
        <w:rPr>
          <w:rFonts w:hint="cs"/>
          <w:rtl/>
        </w:rPr>
        <w:t xml:space="preserve">לפירות </w:t>
      </w:r>
      <w:r w:rsidRPr="00CD678E">
        <w:rPr>
          <w:rFonts w:hint="cs"/>
          <w:rtl/>
        </w:rPr>
        <w:t>מכ</w:t>
      </w:r>
      <w:r>
        <w:rPr>
          <w:rFonts w:hint="cs"/>
          <w:rtl/>
        </w:rPr>
        <w:t>ו</w:t>
      </w:r>
      <w:r w:rsidRPr="00CD678E">
        <w:rPr>
          <w:rFonts w:hint="cs"/>
          <w:rtl/>
        </w:rPr>
        <w:t>ח המנהג</w:t>
      </w:r>
      <w:r w:rsidR="006D565A">
        <w:rPr>
          <w:rFonts w:hint="cs"/>
          <w:rtl/>
        </w:rPr>
        <w:t>,</w:t>
      </w:r>
      <w:r>
        <w:rPr>
          <w:rFonts w:hint="cs"/>
          <w:rtl/>
        </w:rPr>
        <w:t xml:space="preserve"> בשעה שהוא נותר מחויב </w:t>
      </w:r>
      <w:proofErr w:type="spellStart"/>
      <w:r>
        <w:rPr>
          <w:rFonts w:hint="cs"/>
          <w:rtl/>
        </w:rPr>
        <w:t>בפרקונה</w:t>
      </w:r>
      <w:proofErr w:type="spellEnd"/>
      <w:r w:rsidRPr="00CD678E">
        <w:rPr>
          <w:rFonts w:hint="cs"/>
          <w:rtl/>
        </w:rPr>
        <w:t xml:space="preserve">, </w:t>
      </w:r>
      <w:r>
        <w:rPr>
          <w:rFonts w:hint="cs"/>
          <w:rtl/>
        </w:rPr>
        <w:t xml:space="preserve">ולכן </w:t>
      </w:r>
      <w:r w:rsidRPr="00CD678E">
        <w:rPr>
          <w:rFonts w:hint="cs"/>
          <w:rtl/>
        </w:rPr>
        <w:t>יש צורך בהסכמה מפורשת שלו על כך:</w:t>
      </w:r>
    </w:p>
    <w:p w14:paraId="6B592D7A" w14:textId="79B147E5" w:rsidR="00140EB0" w:rsidRPr="00990163" w:rsidRDefault="00140EB0" w:rsidP="00990163">
      <w:pPr>
        <w:pStyle w:val="afe"/>
        <w:rPr>
          <w:rtl/>
        </w:rPr>
      </w:pPr>
      <w:r w:rsidRPr="00990163">
        <w:rPr>
          <w:rtl/>
        </w:rPr>
        <w:t>מדובר בזעזוע מהותי וחסר איזון של כל מבנה המשפחה. הפ</w:t>
      </w:r>
      <w:r w:rsidR="006D565A">
        <w:rPr>
          <w:rFonts w:hint="cs"/>
          <w:rtl/>
        </w:rPr>
        <w:t>י</w:t>
      </w:r>
      <w:r w:rsidRPr="00990163">
        <w:rPr>
          <w:rtl/>
        </w:rPr>
        <w:t xml:space="preserve">רות ניתנו לבעל תמורת </w:t>
      </w:r>
      <w:proofErr w:type="spellStart"/>
      <w:r w:rsidRPr="00990163">
        <w:rPr>
          <w:rtl/>
        </w:rPr>
        <w:t>פירקונה</w:t>
      </w:r>
      <w:proofErr w:type="spellEnd"/>
      <w:r w:rsidRPr="00990163">
        <w:rPr>
          <w:rtl/>
        </w:rPr>
        <w:t xml:space="preserve">. לפי המצב החדש חובתו </w:t>
      </w:r>
      <w:proofErr w:type="spellStart"/>
      <w:r w:rsidRPr="00990163">
        <w:rPr>
          <w:rtl/>
        </w:rPr>
        <w:t>בפירקונה</w:t>
      </w:r>
      <w:proofErr w:type="spellEnd"/>
      <w:r w:rsidRPr="00990163">
        <w:rPr>
          <w:rtl/>
        </w:rPr>
        <w:t xml:space="preserve"> נשאר בעינו, אולם תמורתו </w:t>
      </w:r>
      <w:r w:rsidR="00990163" w:rsidRPr="00990163">
        <w:rPr>
          <w:rtl/>
        </w:rPr>
        <w:t>-</w:t>
      </w:r>
      <w:r w:rsidRPr="00990163">
        <w:rPr>
          <w:rtl/>
        </w:rPr>
        <w:t xml:space="preserve"> הפ</w:t>
      </w:r>
      <w:r w:rsidR="006D565A">
        <w:rPr>
          <w:rFonts w:hint="cs"/>
          <w:rtl/>
        </w:rPr>
        <w:t>י</w:t>
      </w:r>
      <w:r w:rsidRPr="00990163">
        <w:rPr>
          <w:rtl/>
        </w:rPr>
        <w:t xml:space="preserve">רות </w:t>
      </w:r>
      <w:r w:rsidR="00990163" w:rsidRPr="00990163">
        <w:rPr>
          <w:rtl/>
        </w:rPr>
        <w:t>-</w:t>
      </w:r>
      <w:r w:rsidRPr="00990163">
        <w:rPr>
          <w:rtl/>
        </w:rPr>
        <w:t xml:space="preserve"> נשללה ממנו. אין כאן איזון משאבים, אלא אדרבה הפרת האיזון העדין עליו בנויה המערכת המשפחתית. אי אפשר לבודד את נושא הפ</w:t>
      </w:r>
      <w:r w:rsidR="006D565A">
        <w:rPr>
          <w:rFonts w:hint="cs"/>
          <w:rtl/>
        </w:rPr>
        <w:t>י</w:t>
      </w:r>
      <w:r w:rsidRPr="00990163">
        <w:rPr>
          <w:rtl/>
        </w:rPr>
        <w:t>רות ולהתעלם מתנאים אחרים שבהם עדיין הבעל חייב חיוב מלא. האם על דעת כן כל אחד מוכן לקבל עליו את המנהג החדש?</w:t>
      </w:r>
      <w:r w:rsidRPr="00990163">
        <w:rPr>
          <w:rFonts w:hint="cs"/>
          <w:rtl/>
        </w:rPr>
        <w:t xml:space="preserve"> </w:t>
      </w:r>
    </w:p>
    <w:p w14:paraId="5732960F" w14:textId="1D666609" w:rsidR="00140EB0" w:rsidRDefault="00140EB0" w:rsidP="00990163">
      <w:pPr>
        <w:rPr>
          <w:rtl/>
        </w:rPr>
      </w:pPr>
      <w:r>
        <w:rPr>
          <w:rFonts w:hint="cs"/>
          <w:rtl/>
        </w:rPr>
        <w:t>לעומתו</w:t>
      </w:r>
      <w:r w:rsidR="00CC5B89">
        <w:rPr>
          <w:rFonts w:hint="cs"/>
          <w:rtl/>
        </w:rPr>
        <w:t>,</w:t>
      </w:r>
      <w:r>
        <w:rPr>
          <w:rFonts w:hint="cs"/>
          <w:rtl/>
        </w:rPr>
        <w:t xml:space="preserve"> סובר </w:t>
      </w:r>
      <w:proofErr w:type="spellStart"/>
      <w:r>
        <w:rPr>
          <w:rFonts w:hint="cs"/>
          <w:rtl/>
        </w:rPr>
        <w:t>הר</w:t>
      </w:r>
      <w:r w:rsidR="006D565A">
        <w:rPr>
          <w:rFonts w:hint="cs"/>
          <w:rtl/>
        </w:rPr>
        <w:t>"ש</w:t>
      </w:r>
      <w:proofErr w:type="spellEnd"/>
      <w:r w:rsidR="006D565A">
        <w:rPr>
          <w:rFonts w:hint="cs"/>
          <w:rtl/>
        </w:rPr>
        <w:t xml:space="preserve"> </w:t>
      </w:r>
      <w:proofErr w:type="spellStart"/>
      <w:r>
        <w:rPr>
          <w:rFonts w:hint="cs"/>
          <w:rtl/>
        </w:rPr>
        <w:t>דיכובסקי</w:t>
      </w:r>
      <w:proofErr w:type="spellEnd"/>
      <w:r>
        <w:rPr>
          <w:rFonts w:hint="cs"/>
          <w:rtl/>
        </w:rPr>
        <w:t xml:space="preserve"> </w:t>
      </w:r>
      <w:r w:rsidR="006D565A">
        <w:rPr>
          <w:rFonts w:hint="cs"/>
          <w:rtl/>
        </w:rPr>
        <w:t>(</w:t>
      </w:r>
      <w:r w:rsidR="006D565A" w:rsidRPr="00140EB0">
        <w:rPr>
          <w:rFonts w:hint="cs"/>
          <w:rtl/>
        </w:rPr>
        <w:t>'</w:t>
      </w:r>
      <w:r w:rsidR="006D565A" w:rsidRPr="00140EB0">
        <w:rPr>
          <w:rtl/>
        </w:rPr>
        <w:t xml:space="preserve">הלכת השיתוף - האם </w:t>
      </w:r>
      <w:proofErr w:type="spellStart"/>
      <w:r w:rsidR="006D565A" w:rsidRPr="00140EB0">
        <w:rPr>
          <w:rtl/>
        </w:rPr>
        <w:t>דינא</w:t>
      </w:r>
      <w:proofErr w:type="spellEnd"/>
      <w:r w:rsidR="006D565A" w:rsidRPr="00140EB0">
        <w:rPr>
          <w:rtl/>
        </w:rPr>
        <w:t xml:space="preserve"> </w:t>
      </w:r>
      <w:proofErr w:type="spellStart"/>
      <w:r w:rsidR="006D565A" w:rsidRPr="00140EB0">
        <w:rPr>
          <w:rtl/>
        </w:rPr>
        <w:t>דמלכותא</w:t>
      </w:r>
      <w:proofErr w:type="spellEnd"/>
      <w:r w:rsidR="006D565A" w:rsidRPr="00140EB0">
        <w:rPr>
          <w:rFonts w:hint="cs"/>
          <w:rtl/>
        </w:rPr>
        <w:t>'</w:t>
      </w:r>
      <w:r w:rsidR="006D565A" w:rsidRPr="00140EB0">
        <w:rPr>
          <w:rtl/>
        </w:rPr>
        <w:t xml:space="preserve">, </w:t>
      </w:r>
      <w:proofErr w:type="spellStart"/>
      <w:r w:rsidR="006D565A" w:rsidRPr="00140EB0">
        <w:rPr>
          <w:rtl/>
        </w:rPr>
        <w:t>תחומין</w:t>
      </w:r>
      <w:proofErr w:type="spellEnd"/>
      <w:r w:rsidR="006D565A" w:rsidRPr="00140EB0">
        <w:rPr>
          <w:rtl/>
        </w:rPr>
        <w:t xml:space="preserve"> </w:t>
      </w:r>
      <w:proofErr w:type="spellStart"/>
      <w:r w:rsidR="006D565A" w:rsidRPr="00140EB0">
        <w:rPr>
          <w:rtl/>
        </w:rPr>
        <w:t>יח</w:t>
      </w:r>
      <w:proofErr w:type="spellEnd"/>
      <w:r w:rsidR="006D565A" w:rsidRPr="00140EB0">
        <w:rPr>
          <w:rFonts w:hint="cs"/>
          <w:rtl/>
        </w:rPr>
        <w:t xml:space="preserve"> </w:t>
      </w:r>
      <w:r w:rsidR="006D565A" w:rsidRPr="00140EB0">
        <w:rPr>
          <w:rtl/>
        </w:rPr>
        <w:t>עמ' 31-18</w:t>
      </w:r>
      <w:r w:rsidR="006D565A">
        <w:rPr>
          <w:rFonts w:hint="cs"/>
          <w:rtl/>
        </w:rPr>
        <w:t>),</w:t>
      </w:r>
      <w:r>
        <w:rPr>
          <w:rFonts w:hint="cs"/>
          <w:rtl/>
        </w:rPr>
        <w:t xml:space="preserve"> </w:t>
      </w:r>
      <w:r w:rsidR="00CC5B89">
        <w:rPr>
          <w:rFonts w:hint="cs"/>
          <w:rtl/>
        </w:rPr>
        <w:t>ש</w:t>
      </w:r>
      <w:r>
        <w:rPr>
          <w:rFonts w:hint="cs"/>
          <w:rtl/>
        </w:rPr>
        <w:t xml:space="preserve">זוגות שנישאים היום נחשבים כמסכימים מכללא להיות שותפים מלאים בכל מרכיבי הרכוש, כולל פירות נכסי האישה, על אף החיובים היתרים המוטלים על הבעל (מזונות, כתובה, מדור, </w:t>
      </w:r>
      <w:proofErr w:type="spellStart"/>
      <w:r>
        <w:rPr>
          <w:rFonts w:hint="cs"/>
          <w:rtl/>
        </w:rPr>
        <w:t>פרקונה</w:t>
      </w:r>
      <w:proofErr w:type="spellEnd"/>
      <w:r>
        <w:rPr>
          <w:rFonts w:hint="cs"/>
          <w:rtl/>
        </w:rPr>
        <w:t>).</w:t>
      </w:r>
      <w:r>
        <w:rPr>
          <w:rStyle w:val="ac"/>
          <w:rFonts w:ascii="David" w:hAnsi="David"/>
          <w:sz w:val="24"/>
          <w:rtl/>
        </w:rPr>
        <w:footnoteReference w:id="21"/>
      </w:r>
      <w:r>
        <w:rPr>
          <w:rFonts w:hint="cs"/>
          <w:rtl/>
        </w:rPr>
        <w:t xml:space="preserve"> </w:t>
      </w:r>
    </w:p>
    <w:p w14:paraId="4AB3974A" w14:textId="232EA5DD" w:rsidR="00140EB0" w:rsidRDefault="00140EB0" w:rsidP="00140EB0">
      <w:pPr>
        <w:rPr>
          <w:rtl/>
        </w:rPr>
      </w:pPr>
      <w:r>
        <w:rPr>
          <w:rFonts w:hint="cs"/>
          <w:rtl/>
        </w:rPr>
        <w:t>על רקע מחלוקת זו בין הפוסקים</w:t>
      </w:r>
      <w:r w:rsidR="00CC5B89">
        <w:rPr>
          <w:rFonts w:hint="cs"/>
          <w:rtl/>
        </w:rPr>
        <w:t>,</w:t>
      </w:r>
      <w:r>
        <w:rPr>
          <w:rFonts w:hint="cs"/>
          <w:rtl/>
        </w:rPr>
        <w:t xml:space="preserve"> יש לברר האם יש אופן אחר בו ניתן להתנות על זכות הבעל בפירות ובגוף הנכס.</w:t>
      </w:r>
    </w:p>
    <w:p w14:paraId="66BFC38D" w14:textId="52A6D701" w:rsidR="00140EB0" w:rsidRDefault="00140EB0" w:rsidP="00140EB0">
      <w:pPr>
        <w:pStyle w:val="5"/>
        <w:rPr>
          <w:rtl/>
        </w:rPr>
      </w:pPr>
      <w:bookmarkStart w:id="59" w:name="_Toc145602401"/>
      <w:bookmarkStart w:id="60" w:name="_Toc146058272"/>
      <w:bookmarkStart w:id="61" w:name="_Toc168268750"/>
      <w:bookmarkStart w:id="62" w:name="_Toc168327355"/>
      <w:r>
        <w:rPr>
          <w:rFonts w:hint="cs"/>
          <w:rtl/>
        </w:rPr>
        <w:t>5. מחילה של זכות הבעל לנכסי מלוג ופירות</w:t>
      </w:r>
      <w:bookmarkEnd w:id="59"/>
      <w:bookmarkEnd w:id="60"/>
      <w:bookmarkEnd w:id="61"/>
      <w:bookmarkEnd w:id="62"/>
      <w:r>
        <w:rPr>
          <w:rFonts w:hint="cs"/>
          <w:rtl/>
        </w:rPr>
        <w:t xml:space="preserve"> </w:t>
      </w:r>
    </w:p>
    <w:p w14:paraId="43DF000C" w14:textId="30F9EE1E" w:rsidR="00140EB0" w:rsidRDefault="00CC5B89" w:rsidP="00CC5B89">
      <w:pPr>
        <w:rPr>
          <w:rtl/>
        </w:rPr>
      </w:pPr>
      <w:r>
        <w:rPr>
          <w:rFonts w:hint="cs"/>
          <w:rtl/>
        </w:rPr>
        <w:t>לעיל ראינו, שאף לאחר הנישואין, הבעל יכול להסתלק בקניין מזכויותיו בנכסי האישה</w:t>
      </w:r>
      <w:r>
        <w:rPr>
          <w:rStyle w:val="aff"/>
          <w:rFonts w:hint="cs"/>
          <w:rtl/>
        </w:rPr>
        <w:t xml:space="preserve">. </w:t>
      </w:r>
      <w:r w:rsidR="00140EB0">
        <w:rPr>
          <w:rFonts w:hint="cs"/>
          <w:rtl/>
        </w:rPr>
        <w:t xml:space="preserve">אולם מצב זה אינו רווח בפועל, שכן מרבית הזוגות אינם מודעים לתקנות ולהשלכותיהן, ואינם עורכים מעשה קניין מסודר המקנה לאישה זכויות ברווחי נכסיה. לכן יש לבחון האם ניתן לייחס לאיש הקנאה מכוח שתיקתו לנוכח רישום האישה בנכס </w:t>
      </w:r>
      <w:r w:rsidR="00140EB0">
        <w:rPr>
          <w:rFonts w:hint="cs"/>
          <w:rtl/>
        </w:rPr>
        <w:lastRenderedPageBreak/>
        <w:t>וכניסת הרווחים לחשבונה, בצירוף לכך שזהו המצב הנוהג במדינה על פי החוק</w:t>
      </w:r>
      <w:r>
        <w:rPr>
          <w:rFonts w:hint="cs"/>
          <w:rtl/>
        </w:rPr>
        <w:t>,</w:t>
      </w:r>
      <w:r w:rsidR="00140EB0">
        <w:rPr>
          <w:rFonts w:hint="cs"/>
          <w:rtl/>
        </w:rPr>
        <w:t xml:space="preserve"> ועל דעת מנהג זה זוגות נישאים ומנהלים את חשבונותיהם הכלכליים. ככל הידוע</w:t>
      </w:r>
      <w:r>
        <w:rPr>
          <w:rFonts w:hint="cs"/>
          <w:rtl/>
        </w:rPr>
        <w:t>,</w:t>
      </w:r>
      <w:r w:rsidR="00140EB0">
        <w:rPr>
          <w:rFonts w:hint="cs"/>
          <w:rtl/>
        </w:rPr>
        <w:t xml:space="preserve"> גם לא מצויות מחלוקות ממוניות בין נשים ובעליהן בעניין זה שנתפס כמובן מאליו על פי החוק והנוהג המצוי בחברה (המחלוקות מתעוררות בדרך כלל לאחר סיום הנישואין</w:t>
      </w:r>
      <w:r>
        <w:rPr>
          <w:rFonts w:hint="cs"/>
          <w:rtl/>
        </w:rPr>
        <w:t>,</w:t>
      </w:r>
      <w:r w:rsidR="00140EB0">
        <w:rPr>
          <w:rFonts w:hint="cs"/>
          <w:rtl/>
        </w:rPr>
        <w:t xml:space="preserve"> בעת חלוקת הממון בין בני הזוג על פי חוק יחסי ממון). </w:t>
      </w:r>
    </w:p>
    <w:p w14:paraId="5D11981C" w14:textId="60031F2A" w:rsidR="00140EB0" w:rsidRDefault="00140EB0" w:rsidP="00CC5B89">
      <w:pPr>
        <w:rPr>
          <w:rtl/>
        </w:rPr>
      </w:pPr>
      <w:r>
        <w:rPr>
          <w:rFonts w:hint="cs"/>
          <w:rtl/>
        </w:rPr>
        <w:t>י</w:t>
      </w:r>
      <w:r w:rsidR="00CC5B89">
        <w:rPr>
          <w:rFonts w:hint="cs"/>
          <w:rtl/>
        </w:rPr>
        <w:t>י</w:t>
      </w:r>
      <w:r>
        <w:rPr>
          <w:rFonts w:hint="cs"/>
          <w:rtl/>
        </w:rPr>
        <w:t xml:space="preserve">תכן שניתן לצרף לנטייה להקל בדרישות הקניין במקרה זה, את צמצום משמעות חובת הבעל כיום </w:t>
      </w:r>
      <w:proofErr w:type="spellStart"/>
      <w:r>
        <w:rPr>
          <w:rFonts w:hint="cs"/>
          <w:rtl/>
        </w:rPr>
        <w:t>בפרקונה</w:t>
      </w:r>
      <w:proofErr w:type="spellEnd"/>
      <w:r>
        <w:rPr>
          <w:rFonts w:hint="cs"/>
          <w:rtl/>
        </w:rPr>
        <w:t xml:space="preserve"> של אשתו. דבריו של </w:t>
      </w:r>
      <w:proofErr w:type="spellStart"/>
      <w:r>
        <w:rPr>
          <w:rFonts w:hint="cs"/>
          <w:rtl/>
        </w:rPr>
        <w:t>הר</w:t>
      </w:r>
      <w:r w:rsidR="00CC5B89">
        <w:rPr>
          <w:rFonts w:hint="cs"/>
          <w:rtl/>
        </w:rPr>
        <w:t>"י</w:t>
      </w:r>
      <w:proofErr w:type="spellEnd"/>
      <w:r>
        <w:rPr>
          <w:rFonts w:hint="cs"/>
          <w:rtl/>
        </w:rPr>
        <w:t xml:space="preserve"> אריאל שראינו בנוגע לאי היכולת לוותר על הזכות, מתבססים על ההנחה שהבעל מחויב </w:t>
      </w:r>
      <w:proofErr w:type="spellStart"/>
      <w:r>
        <w:rPr>
          <w:rFonts w:hint="cs"/>
          <w:rtl/>
        </w:rPr>
        <w:t>בפרקונה</w:t>
      </w:r>
      <w:proofErr w:type="spellEnd"/>
      <w:r w:rsidR="00CC5B89">
        <w:rPr>
          <w:rFonts w:hint="cs"/>
          <w:rtl/>
        </w:rPr>
        <w:t>,</w:t>
      </w:r>
      <w:r>
        <w:rPr>
          <w:rFonts w:hint="cs"/>
          <w:rtl/>
        </w:rPr>
        <w:t xml:space="preserve"> ולכן לא סביר לשלול ממנו את הזכות לפירות ללא הסכמתו המפורשת. אולם היקף הצורך במימוש של תקנת '</w:t>
      </w:r>
      <w:proofErr w:type="spellStart"/>
      <w:r>
        <w:rPr>
          <w:rFonts w:hint="cs"/>
          <w:rtl/>
        </w:rPr>
        <w:t>פרקונה</w:t>
      </w:r>
      <w:proofErr w:type="spellEnd"/>
      <w:r>
        <w:rPr>
          <w:rFonts w:hint="cs"/>
          <w:rtl/>
        </w:rPr>
        <w:t>' על ידי נשים במדינת ישראל כיום מצומצם מאו</w:t>
      </w:r>
      <w:r w:rsidR="00CC5B89">
        <w:rPr>
          <w:rFonts w:hint="cs"/>
          <w:rtl/>
        </w:rPr>
        <w:t>ד, כפי שנכתב לעיל</w:t>
      </w:r>
      <w:r>
        <w:rPr>
          <w:rFonts w:hint="cs"/>
          <w:rtl/>
        </w:rPr>
        <w:t xml:space="preserve">. גם לדעת הפוסקים הסוברים כי </w:t>
      </w:r>
      <w:r w:rsidRPr="00AA7489">
        <w:rPr>
          <w:rFonts w:hint="cs"/>
          <w:rtl/>
        </w:rPr>
        <w:t>חובת פדיון משבי נוגעת כיום לשחרור אישה מהכלא בערבות או תשלום קנס כעונש חליפי למאסר</w:t>
      </w:r>
      <w:r>
        <w:rPr>
          <w:rFonts w:hint="cs"/>
          <w:rtl/>
        </w:rPr>
        <w:t xml:space="preserve">, </w:t>
      </w:r>
      <w:r w:rsidR="00CC5B89">
        <w:rPr>
          <w:rFonts w:hint="cs"/>
          <w:rtl/>
        </w:rPr>
        <w:t xml:space="preserve">ראינו </w:t>
      </w:r>
      <w:r>
        <w:rPr>
          <w:rFonts w:hint="cs"/>
          <w:rtl/>
        </w:rPr>
        <w:t xml:space="preserve">שרובם </w:t>
      </w:r>
      <w:r w:rsidRPr="00AA7489">
        <w:rPr>
          <w:rtl/>
        </w:rPr>
        <w:t>פוסקים</w:t>
      </w:r>
      <w:r w:rsidRPr="00AA7489">
        <w:rPr>
          <w:rFonts w:hint="cs"/>
          <w:rtl/>
        </w:rPr>
        <w:t xml:space="preserve"> </w:t>
      </w:r>
      <w:r w:rsidRPr="00AA7489">
        <w:rPr>
          <w:rtl/>
        </w:rPr>
        <w:t>ש</w:t>
      </w:r>
      <w:r w:rsidRPr="00AA7489">
        <w:rPr>
          <w:rFonts w:hint="cs"/>
          <w:rtl/>
        </w:rPr>
        <w:t xml:space="preserve">אם </w:t>
      </w:r>
      <w:r w:rsidRPr="00AA7489">
        <w:rPr>
          <w:rtl/>
        </w:rPr>
        <w:t>הא</w:t>
      </w:r>
      <w:r w:rsidRPr="00AA7489">
        <w:rPr>
          <w:rFonts w:hint="cs"/>
          <w:rtl/>
        </w:rPr>
        <w:t>ישה</w:t>
      </w:r>
      <w:r w:rsidRPr="00AA7489">
        <w:rPr>
          <w:rtl/>
        </w:rPr>
        <w:t xml:space="preserve"> אשמה</w:t>
      </w:r>
      <w:r w:rsidR="00CC5B89">
        <w:rPr>
          <w:rFonts w:hint="cs"/>
          <w:rtl/>
        </w:rPr>
        <w:t>,</w:t>
      </w:r>
      <w:r w:rsidRPr="00AA7489">
        <w:rPr>
          <w:rtl/>
        </w:rPr>
        <w:t xml:space="preserve"> אין הבעל חייב לפדותה</w:t>
      </w:r>
      <w:r w:rsidR="00CC5B89">
        <w:rPr>
          <w:rFonts w:hint="cs"/>
          <w:rtl/>
        </w:rPr>
        <w:t>.</w:t>
      </w:r>
      <w:r w:rsidRPr="00AA7489">
        <w:rPr>
          <w:rFonts w:hint="cs"/>
          <w:rtl/>
        </w:rPr>
        <w:t xml:space="preserve"> </w:t>
      </w:r>
    </w:p>
    <w:p w14:paraId="07055C84" w14:textId="1DA26249" w:rsidR="00140EB0" w:rsidRDefault="00140EB0" w:rsidP="00990163">
      <w:pPr>
        <w:rPr>
          <w:rtl/>
        </w:rPr>
      </w:pPr>
      <w:r>
        <w:rPr>
          <w:rFonts w:hint="cs"/>
          <w:rtl/>
        </w:rPr>
        <w:t xml:space="preserve">נראה שגם חיוב הבעל </w:t>
      </w:r>
      <w:proofErr w:type="spellStart"/>
      <w:r>
        <w:rPr>
          <w:rFonts w:hint="cs"/>
          <w:rtl/>
        </w:rPr>
        <w:t>ב'פרקונה</w:t>
      </w:r>
      <w:proofErr w:type="spellEnd"/>
      <w:r>
        <w:rPr>
          <w:rFonts w:hint="cs"/>
          <w:rtl/>
        </w:rPr>
        <w:t>', במובן של תשלום דמי רפואה שיש לה קצבה, אינו בעל משקל רב במציאות הנוכחית</w:t>
      </w:r>
      <w:r w:rsidR="00CC5B89">
        <w:rPr>
          <w:rFonts w:hint="cs"/>
          <w:rtl/>
        </w:rPr>
        <w:t>,</w:t>
      </w:r>
      <w:r>
        <w:rPr>
          <w:rFonts w:hint="cs"/>
          <w:rtl/>
        </w:rPr>
        <w:t xml:space="preserve"> </w:t>
      </w:r>
      <w:r w:rsidR="00CC5B89">
        <w:rPr>
          <w:rFonts w:hint="cs"/>
          <w:rtl/>
        </w:rPr>
        <w:t xml:space="preserve">שכן </w:t>
      </w:r>
      <w:r>
        <w:rPr>
          <w:rFonts w:hint="cs"/>
          <w:rtl/>
        </w:rPr>
        <w:t xml:space="preserve">אזרחי המדינה מבוטחים בביטוח רפואי ממלכתי המכסה את מרבית ההוצאות הרפואיות. ואכן, כאשר הצענו סברה זו בפני </w:t>
      </w:r>
      <w:proofErr w:type="spellStart"/>
      <w:r>
        <w:rPr>
          <w:rFonts w:hint="cs"/>
          <w:rtl/>
        </w:rPr>
        <w:t>הר</w:t>
      </w:r>
      <w:r w:rsidR="00CC5B89">
        <w:rPr>
          <w:rFonts w:hint="cs"/>
          <w:rtl/>
        </w:rPr>
        <w:t>"י</w:t>
      </w:r>
      <w:proofErr w:type="spellEnd"/>
      <w:r>
        <w:rPr>
          <w:rFonts w:hint="cs"/>
          <w:rtl/>
        </w:rPr>
        <w:t xml:space="preserve"> אריאל</w:t>
      </w:r>
      <w:r w:rsidR="00CC5B89">
        <w:rPr>
          <w:rFonts w:hint="cs"/>
          <w:rtl/>
        </w:rPr>
        <w:t>,</w:t>
      </w:r>
      <w:r>
        <w:rPr>
          <w:rFonts w:hint="cs"/>
          <w:rtl/>
        </w:rPr>
        <w:t xml:space="preserve"> הוא לא דחה אותה.</w:t>
      </w:r>
      <w:r>
        <w:rPr>
          <w:rStyle w:val="ac"/>
          <w:rFonts w:ascii="David" w:hAnsi="David"/>
          <w:sz w:val="24"/>
          <w:rtl/>
        </w:rPr>
        <w:footnoteReference w:id="22"/>
      </w:r>
      <w:r w:rsidRPr="009C4D54">
        <w:rPr>
          <w:rtl/>
        </w:rPr>
        <w:t xml:space="preserve"> </w:t>
      </w:r>
    </w:p>
    <w:p w14:paraId="73BAEE78" w14:textId="43C9A2C7" w:rsidR="00140EB0" w:rsidRPr="009C4D54" w:rsidRDefault="00140EB0" w:rsidP="00990163">
      <w:pPr>
        <w:rPr>
          <w:rtl/>
        </w:rPr>
      </w:pPr>
      <w:r>
        <w:rPr>
          <w:rFonts w:hint="cs"/>
          <w:rtl/>
        </w:rPr>
        <w:t>אולם, נראה שגם אם נניח שיש מחילה של הבעל על זכותו לפירות, כשידע על קיומה של הדירה השייכת לאשתו</w:t>
      </w:r>
      <w:r w:rsidR="00CC5B89">
        <w:rPr>
          <w:rFonts w:hint="cs"/>
          <w:rtl/>
        </w:rPr>
        <w:t xml:space="preserve"> ושתק</w:t>
      </w:r>
      <w:r>
        <w:rPr>
          <w:rFonts w:hint="cs"/>
          <w:rtl/>
        </w:rPr>
        <w:t>, הרי שאין מדובר במחילה בלתי חוזרת. רוצה לומר, שתיקת הבעל אל מול המצב בו דמי השכירות מגיעים לחשבון פרטי של אשתו מהווה לכל היותר ויתור על מה שכבר הועבר לחשבון, אבל לא בהכרח ויתור מכאן ולהבא. לכן, אם חלילה האישה תחלה והבעל יידרש לממן הוצאות טיפול רפואי, הוא יוכל לדרוש שדמי השכירות יועברו מכאן והלאה לחשבון המשותף.</w:t>
      </w:r>
      <w:r>
        <w:rPr>
          <w:rStyle w:val="ac"/>
          <w:rFonts w:ascii="David" w:hAnsi="David"/>
          <w:sz w:val="24"/>
          <w:rtl/>
        </w:rPr>
        <w:footnoteReference w:id="23"/>
      </w:r>
      <w:r>
        <w:rPr>
          <w:rFonts w:hint="cs"/>
          <w:rtl/>
        </w:rPr>
        <w:t xml:space="preserve">  </w:t>
      </w:r>
    </w:p>
    <w:p w14:paraId="655B6C79" w14:textId="2EF78946" w:rsidR="00140EB0" w:rsidRDefault="00140EB0" w:rsidP="00140EB0">
      <w:pPr>
        <w:pStyle w:val="4"/>
        <w:rPr>
          <w:rtl/>
        </w:rPr>
      </w:pPr>
      <w:bookmarkStart w:id="63" w:name="_Toc144388071"/>
      <w:bookmarkStart w:id="64" w:name="_Toc144388136"/>
      <w:bookmarkStart w:id="65" w:name="_Toc144388072"/>
      <w:bookmarkStart w:id="66" w:name="_Toc144388137"/>
      <w:bookmarkStart w:id="67" w:name="_Toc144388073"/>
      <w:bookmarkStart w:id="68" w:name="_Toc144388138"/>
      <w:bookmarkStart w:id="69" w:name="_Toc144388074"/>
      <w:bookmarkStart w:id="70" w:name="_Toc144388139"/>
      <w:bookmarkStart w:id="71" w:name="_Toc145602402"/>
      <w:bookmarkStart w:id="72" w:name="_Toc146058273"/>
      <w:bookmarkStart w:id="73" w:name="_Toc168268751"/>
      <w:bookmarkStart w:id="74" w:name="_Toc168327356"/>
      <w:bookmarkEnd w:id="63"/>
      <w:bookmarkEnd w:id="64"/>
      <w:bookmarkEnd w:id="65"/>
      <w:bookmarkEnd w:id="66"/>
      <w:bookmarkEnd w:id="67"/>
      <w:bookmarkEnd w:id="68"/>
      <w:bookmarkEnd w:id="69"/>
      <w:bookmarkEnd w:id="70"/>
      <w:r>
        <w:rPr>
          <w:rFonts w:hint="cs"/>
          <w:rtl/>
        </w:rPr>
        <w:t>ו. זכאות משותפת לדמי השכירות מכוח מתנה</w:t>
      </w:r>
      <w:bookmarkEnd w:id="71"/>
      <w:bookmarkEnd w:id="72"/>
      <w:bookmarkEnd w:id="73"/>
      <w:bookmarkEnd w:id="74"/>
    </w:p>
    <w:p w14:paraId="7F5D59F6" w14:textId="38CEF1A8" w:rsidR="00140EB0" w:rsidRPr="001A0C50" w:rsidRDefault="00140EB0" w:rsidP="00140EB0">
      <w:r w:rsidRPr="00777D39">
        <w:rPr>
          <w:rFonts w:hint="cs"/>
          <w:rtl/>
        </w:rPr>
        <w:t xml:space="preserve">לגבי דירה </w:t>
      </w:r>
      <w:r w:rsidR="00F16E19">
        <w:rPr>
          <w:rFonts w:hint="cs"/>
          <w:rtl/>
        </w:rPr>
        <w:t>ש</w:t>
      </w:r>
      <w:r w:rsidRPr="00777D39">
        <w:rPr>
          <w:rFonts w:hint="cs"/>
          <w:rtl/>
        </w:rPr>
        <w:t>רשומה על שם שני בני הזוג, והם ש</w:t>
      </w:r>
      <w:r>
        <w:rPr>
          <w:rFonts w:hint="cs"/>
          <w:rtl/>
        </w:rPr>
        <w:t>י</w:t>
      </w:r>
      <w:r w:rsidRPr="00777D39">
        <w:rPr>
          <w:rFonts w:hint="cs"/>
          <w:rtl/>
        </w:rPr>
        <w:t xml:space="preserve">למו או משלמים עליה באמצעות החזר הלוואת משכנתא מהחשבון המשותף, </w:t>
      </w:r>
      <w:r w:rsidR="00F16E19">
        <w:rPr>
          <w:rFonts w:hint="cs"/>
          <w:rtl/>
        </w:rPr>
        <w:t>העלו</w:t>
      </w:r>
      <w:r w:rsidRPr="00777D39">
        <w:rPr>
          <w:rFonts w:hint="cs"/>
          <w:rtl/>
        </w:rPr>
        <w:t xml:space="preserve"> הרב שלמה בן יאיר והרב אריאל בראלי</w:t>
      </w:r>
      <w:r w:rsidR="00D169DE">
        <w:rPr>
          <w:rStyle w:val="ac"/>
          <w:rtl/>
        </w:rPr>
        <w:footnoteReference w:id="24"/>
      </w:r>
      <w:r w:rsidR="00F16E19" w:rsidRPr="00140EB0">
        <w:rPr>
          <w:rFonts w:hint="cs"/>
          <w:rtl/>
        </w:rPr>
        <w:t xml:space="preserve"> </w:t>
      </w:r>
      <w:r w:rsidRPr="00777D39">
        <w:rPr>
          <w:rFonts w:hint="cs"/>
          <w:rtl/>
        </w:rPr>
        <w:t>סבר</w:t>
      </w:r>
      <w:r>
        <w:rPr>
          <w:rFonts w:hint="cs"/>
          <w:rtl/>
        </w:rPr>
        <w:t>ה</w:t>
      </w:r>
      <w:r w:rsidRPr="00777D39">
        <w:rPr>
          <w:rFonts w:hint="cs"/>
          <w:rtl/>
        </w:rPr>
        <w:t xml:space="preserve"> נוספת </w:t>
      </w:r>
      <w:r>
        <w:rPr>
          <w:rFonts w:hint="cs"/>
          <w:rtl/>
        </w:rPr>
        <w:t xml:space="preserve">התומכת בכך שבני הזוג שותפים </w:t>
      </w:r>
      <w:r w:rsidRPr="00777D39">
        <w:rPr>
          <w:rFonts w:hint="cs"/>
          <w:rtl/>
        </w:rPr>
        <w:t>ב</w:t>
      </w:r>
      <w:r>
        <w:rPr>
          <w:rFonts w:hint="cs"/>
          <w:rtl/>
        </w:rPr>
        <w:t xml:space="preserve">דמי </w:t>
      </w:r>
      <w:r w:rsidRPr="00777D39">
        <w:rPr>
          <w:rFonts w:hint="cs"/>
          <w:rtl/>
        </w:rPr>
        <w:t xml:space="preserve">השכירות שהינם פירות </w:t>
      </w:r>
      <w:r w:rsidRPr="00777D39">
        <w:rPr>
          <w:rFonts w:hint="cs"/>
          <w:rtl/>
        </w:rPr>
        <w:lastRenderedPageBreak/>
        <w:t>הנכס. לדבריהם</w:t>
      </w:r>
      <w:r w:rsidR="00F16E19">
        <w:rPr>
          <w:rFonts w:hint="cs"/>
          <w:rtl/>
        </w:rPr>
        <w:t>,</w:t>
      </w:r>
      <w:r w:rsidRPr="00777D39">
        <w:rPr>
          <w:rFonts w:hint="cs"/>
          <w:rtl/>
        </w:rPr>
        <w:t xml:space="preserve"> ניתן לראות ברישום הדירה על שם האישה במשותף עם האיש, מעין מתנה של הבעל לאישה. התנהלות זו של הבעל דומה למקרה הנזכר בגמרא</w:t>
      </w:r>
      <w:r w:rsidR="00F16E19">
        <w:rPr>
          <w:rFonts w:hint="cs"/>
          <w:rtl/>
        </w:rPr>
        <w:t xml:space="preserve"> (כתובות </w:t>
      </w:r>
      <w:proofErr w:type="spellStart"/>
      <w:r w:rsidR="00F16E19">
        <w:rPr>
          <w:rFonts w:hint="cs"/>
          <w:rtl/>
        </w:rPr>
        <w:t>מו,ב</w:t>
      </w:r>
      <w:proofErr w:type="spellEnd"/>
      <w:r w:rsidR="00F16E19">
        <w:rPr>
          <w:rFonts w:hint="cs"/>
          <w:rtl/>
        </w:rPr>
        <w:t>),</w:t>
      </w:r>
      <w:r w:rsidRPr="00777D39">
        <w:rPr>
          <w:rFonts w:hint="cs"/>
          <w:rtl/>
        </w:rPr>
        <w:t xml:space="preserve"> שבו הבעל מחל על זכות השימוש שלו בשדה: </w:t>
      </w:r>
      <w:r>
        <w:rPr>
          <w:rFonts w:hint="cs"/>
          <w:rtl/>
        </w:rPr>
        <w:t>"</w:t>
      </w:r>
      <w:r w:rsidRPr="00777D39">
        <w:rPr>
          <w:rFonts w:hint="cs"/>
          <w:rtl/>
        </w:rPr>
        <w:t>אמר רבא</w:t>
      </w:r>
      <w:r>
        <w:rPr>
          <w:rFonts w:hint="cs"/>
          <w:rtl/>
        </w:rPr>
        <w:t>:</w:t>
      </w:r>
      <w:r w:rsidRPr="00777D39">
        <w:rPr>
          <w:rFonts w:hint="cs"/>
          <w:rtl/>
        </w:rPr>
        <w:t xml:space="preserve"> הלכתא המוכר שדה לאשתו </w:t>
      </w:r>
      <w:r w:rsidR="00990163">
        <w:rPr>
          <w:rtl/>
        </w:rPr>
        <w:t>-</w:t>
      </w:r>
      <w:r>
        <w:rPr>
          <w:rFonts w:hint="cs"/>
          <w:rtl/>
        </w:rPr>
        <w:t xml:space="preserve"> </w:t>
      </w:r>
      <w:r w:rsidRPr="00777D39">
        <w:rPr>
          <w:rFonts w:hint="cs"/>
          <w:rtl/>
        </w:rPr>
        <w:t xml:space="preserve">לא קנתה והבעל אוכל פירות, במתנה </w:t>
      </w:r>
      <w:r w:rsidR="00990163">
        <w:rPr>
          <w:rtl/>
        </w:rPr>
        <w:t>-</w:t>
      </w:r>
      <w:r>
        <w:rPr>
          <w:rFonts w:hint="cs"/>
          <w:rtl/>
        </w:rPr>
        <w:t xml:space="preserve"> </w:t>
      </w:r>
      <w:r w:rsidRPr="00777D39">
        <w:rPr>
          <w:rFonts w:hint="cs"/>
          <w:rtl/>
        </w:rPr>
        <w:t>קנתה ואין הבעל אוכל פירות</w:t>
      </w:r>
      <w:r>
        <w:rPr>
          <w:rFonts w:hint="cs"/>
          <w:rtl/>
        </w:rPr>
        <w:t>"</w:t>
      </w:r>
      <w:r w:rsidRPr="00777D39">
        <w:rPr>
          <w:rFonts w:hint="cs"/>
          <w:rtl/>
        </w:rPr>
        <w:t>.</w:t>
      </w:r>
      <w:r>
        <w:rPr>
          <w:rFonts w:hint="cs"/>
          <w:rtl/>
        </w:rPr>
        <w:t xml:space="preserve"> </w:t>
      </w:r>
      <w:r w:rsidRPr="00777D39">
        <w:rPr>
          <w:rFonts w:hint="cs"/>
          <w:rtl/>
        </w:rPr>
        <w:t>הם משאירים סבר</w:t>
      </w:r>
      <w:r>
        <w:rPr>
          <w:rFonts w:hint="cs"/>
          <w:rtl/>
        </w:rPr>
        <w:t>ה</w:t>
      </w:r>
      <w:r w:rsidRPr="00777D39">
        <w:rPr>
          <w:rFonts w:hint="cs"/>
          <w:rtl/>
        </w:rPr>
        <w:t xml:space="preserve"> זו ב</w:t>
      </w:r>
      <w:r>
        <w:rPr>
          <w:rFonts w:hint="cs"/>
          <w:rtl/>
        </w:rPr>
        <w:t xml:space="preserve">ספק, </w:t>
      </w:r>
      <w:r w:rsidRPr="00777D39">
        <w:rPr>
          <w:rFonts w:hint="cs"/>
          <w:rtl/>
        </w:rPr>
        <w:t xml:space="preserve">בשל </w:t>
      </w:r>
      <w:r>
        <w:rPr>
          <w:rFonts w:hint="cs"/>
          <w:rtl/>
        </w:rPr>
        <w:t>כך ש</w:t>
      </w:r>
      <w:r w:rsidRPr="00777D39">
        <w:rPr>
          <w:rFonts w:hint="cs"/>
          <w:rtl/>
        </w:rPr>
        <w:t>אי</w:t>
      </w:r>
      <w:r>
        <w:rPr>
          <w:rFonts w:hint="cs"/>
          <w:rtl/>
        </w:rPr>
        <w:t>ן</w:t>
      </w:r>
      <w:r w:rsidRPr="00777D39">
        <w:rPr>
          <w:rFonts w:hint="cs"/>
          <w:rtl/>
        </w:rPr>
        <w:t xml:space="preserve"> הכרעה ברורה בעניין </w:t>
      </w:r>
      <w:r>
        <w:rPr>
          <w:rFonts w:hint="cs"/>
          <w:rtl/>
        </w:rPr>
        <w:t xml:space="preserve">זה </w:t>
      </w:r>
      <w:r w:rsidRPr="00777D39">
        <w:rPr>
          <w:rFonts w:hint="cs"/>
          <w:rtl/>
        </w:rPr>
        <w:t>של פוסקי דורנו</w:t>
      </w:r>
      <w:r>
        <w:rPr>
          <w:rFonts w:hint="cs"/>
          <w:rtl/>
        </w:rPr>
        <w:t>.</w:t>
      </w:r>
      <w:r w:rsidRPr="00777D39">
        <w:rPr>
          <w:rFonts w:hint="cs"/>
          <w:rtl/>
        </w:rPr>
        <w:t xml:space="preserve"> </w:t>
      </w:r>
      <w:r>
        <w:rPr>
          <w:rFonts w:hint="cs"/>
          <w:rtl/>
        </w:rPr>
        <w:t xml:space="preserve">אולם, הם </w:t>
      </w:r>
      <w:r w:rsidRPr="00777D39">
        <w:rPr>
          <w:rFonts w:hint="cs"/>
          <w:rtl/>
        </w:rPr>
        <w:t xml:space="preserve">מצרפים לה את סברתו האמורה של הרב </w:t>
      </w:r>
      <w:proofErr w:type="spellStart"/>
      <w:r w:rsidRPr="00777D39">
        <w:rPr>
          <w:rFonts w:hint="cs"/>
          <w:rtl/>
        </w:rPr>
        <w:t>דיכובסקי</w:t>
      </w:r>
      <w:proofErr w:type="spellEnd"/>
      <w:r w:rsidRPr="00777D39">
        <w:rPr>
          <w:rFonts w:hint="cs"/>
          <w:rtl/>
        </w:rPr>
        <w:t xml:space="preserve"> בעניין חזקת השותפות בין בני זוג נשואים בימינו, </w:t>
      </w:r>
      <w:r w:rsidR="00F16E19">
        <w:rPr>
          <w:rFonts w:hint="cs"/>
          <w:rtl/>
        </w:rPr>
        <w:t>כדי</w:t>
      </w:r>
      <w:r w:rsidRPr="00777D39">
        <w:rPr>
          <w:rFonts w:hint="cs"/>
          <w:rtl/>
        </w:rPr>
        <w:t xml:space="preserve"> להכריע שהסכם שכירות שנחתם בנוגע לנכס משותף ללא הסכמת האישה, אינו תקף.</w:t>
      </w:r>
      <w:r>
        <w:rPr>
          <w:rFonts w:hint="cs"/>
          <w:rtl/>
        </w:rPr>
        <w:t xml:space="preserve">   </w:t>
      </w:r>
    </w:p>
    <w:p w14:paraId="3B5123CF" w14:textId="7A673B1C" w:rsidR="00140EB0" w:rsidRDefault="00140EB0" w:rsidP="00140EB0">
      <w:pPr>
        <w:pStyle w:val="4"/>
        <w:rPr>
          <w:rtl/>
        </w:rPr>
      </w:pPr>
      <w:bookmarkStart w:id="75" w:name="_Toc146058274"/>
      <w:bookmarkStart w:id="76" w:name="_Toc168268752"/>
      <w:bookmarkStart w:id="77" w:name="_Toc168327357"/>
      <w:r>
        <w:rPr>
          <w:rFonts w:hint="cs"/>
          <w:rtl/>
        </w:rPr>
        <w:t xml:space="preserve">ז.  </w:t>
      </w:r>
      <w:bookmarkStart w:id="78" w:name="_Toc145602403"/>
      <w:r>
        <w:rPr>
          <w:rFonts w:hint="cs"/>
          <w:rtl/>
        </w:rPr>
        <w:t>סיכום</w:t>
      </w:r>
      <w:bookmarkEnd w:id="75"/>
      <w:bookmarkEnd w:id="76"/>
      <w:bookmarkEnd w:id="77"/>
      <w:bookmarkEnd w:id="78"/>
      <w:r>
        <w:rPr>
          <w:rFonts w:hint="cs"/>
          <w:rtl/>
        </w:rPr>
        <w:t xml:space="preserve"> </w:t>
      </w:r>
    </w:p>
    <w:p w14:paraId="32D79657" w14:textId="0675A248" w:rsidR="00140EB0" w:rsidRDefault="00140EB0" w:rsidP="00140EB0">
      <w:pPr>
        <w:rPr>
          <w:rtl/>
        </w:rPr>
      </w:pPr>
      <w:r>
        <w:rPr>
          <w:rFonts w:hint="cs"/>
          <w:rtl/>
        </w:rPr>
        <w:t>כאשר לפתחו של בית הדין מגיע סכסוך הנוגע לדירה בבעלות איש או אישה נשואים, על בית הדין לבחון לאשורו את מעמד הדירה ואת אופן השימוש בה, על פי הפירוט הבא:</w:t>
      </w:r>
    </w:p>
    <w:p w14:paraId="13AF4ECA" w14:textId="089FD86D" w:rsidR="00140EB0" w:rsidRDefault="00140EB0" w:rsidP="00140EB0">
      <w:pPr>
        <w:pStyle w:val="-6"/>
        <w:rPr>
          <w:rtl/>
        </w:rPr>
      </w:pPr>
      <w:r w:rsidRPr="00B15960">
        <w:rPr>
          <w:rFonts w:hint="eastAsia"/>
          <w:b/>
          <w:bCs/>
          <w:rtl/>
        </w:rPr>
        <w:t>בדירה</w:t>
      </w:r>
      <w:r w:rsidRPr="00B15960">
        <w:rPr>
          <w:b/>
          <w:bCs/>
          <w:rtl/>
        </w:rPr>
        <w:t xml:space="preserve"> </w:t>
      </w:r>
      <w:r w:rsidRPr="00B15960">
        <w:rPr>
          <w:rFonts w:hint="eastAsia"/>
          <w:b/>
          <w:bCs/>
          <w:rtl/>
        </w:rPr>
        <w:t>המשמשת</w:t>
      </w:r>
      <w:r w:rsidRPr="00B15960">
        <w:rPr>
          <w:b/>
          <w:bCs/>
          <w:rtl/>
        </w:rPr>
        <w:t xml:space="preserve"> </w:t>
      </w:r>
      <w:r w:rsidRPr="00B15960">
        <w:rPr>
          <w:rFonts w:hint="eastAsia"/>
          <w:b/>
          <w:bCs/>
          <w:rtl/>
        </w:rPr>
        <w:t>למגורים</w:t>
      </w:r>
      <w:r w:rsidRPr="00B15960">
        <w:rPr>
          <w:b/>
          <w:bCs/>
          <w:rtl/>
        </w:rPr>
        <w:t xml:space="preserve"> </w:t>
      </w:r>
      <w:r w:rsidRPr="00B15960">
        <w:rPr>
          <w:rFonts w:hint="eastAsia"/>
          <w:b/>
          <w:bCs/>
          <w:rtl/>
        </w:rPr>
        <w:t>משותפים</w:t>
      </w:r>
      <w:r w:rsidRPr="00B15960">
        <w:rPr>
          <w:b/>
          <w:bCs/>
          <w:rtl/>
        </w:rPr>
        <w:t xml:space="preserve"> </w:t>
      </w:r>
      <w:r w:rsidRPr="00B15960">
        <w:rPr>
          <w:rFonts w:hint="eastAsia"/>
          <w:b/>
          <w:bCs/>
          <w:rtl/>
        </w:rPr>
        <w:t>של</w:t>
      </w:r>
      <w:r w:rsidRPr="00B15960">
        <w:rPr>
          <w:b/>
          <w:bCs/>
          <w:rtl/>
        </w:rPr>
        <w:t xml:space="preserve"> </w:t>
      </w:r>
      <w:r w:rsidRPr="00B15960">
        <w:rPr>
          <w:rFonts w:hint="eastAsia"/>
          <w:b/>
          <w:bCs/>
          <w:rtl/>
        </w:rPr>
        <w:t>בני</w:t>
      </w:r>
      <w:r w:rsidRPr="00B15960">
        <w:rPr>
          <w:b/>
          <w:bCs/>
          <w:rtl/>
        </w:rPr>
        <w:t xml:space="preserve"> </w:t>
      </w:r>
      <w:r w:rsidRPr="00B15960">
        <w:rPr>
          <w:rFonts w:hint="eastAsia"/>
          <w:b/>
          <w:bCs/>
          <w:rtl/>
        </w:rPr>
        <w:t>הזוג</w:t>
      </w:r>
      <w:r w:rsidRPr="00B15960">
        <w:rPr>
          <w:b/>
          <w:bCs/>
          <w:rtl/>
        </w:rPr>
        <w:t>,</w:t>
      </w:r>
      <w:r>
        <w:rPr>
          <w:rFonts w:hint="cs"/>
          <w:rtl/>
        </w:rPr>
        <w:t xml:space="preserve"> </w:t>
      </w:r>
      <w:r w:rsidR="00F16E19">
        <w:rPr>
          <w:rFonts w:hint="cs"/>
          <w:rtl/>
        </w:rPr>
        <w:t>על פי</w:t>
      </w:r>
      <w:r w:rsidRPr="00BF3C51">
        <w:rPr>
          <w:rFonts w:hint="cs"/>
          <w:rtl/>
        </w:rPr>
        <w:t xml:space="preserve"> פסיקת בתי המשפט</w:t>
      </w:r>
      <w:r>
        <w:rPr>
          <w:rFonts w:hint="cs"/>
          <w:rtl/>
        </w:rPr>
        <w:t xml:space="preserve">, המהווה מנהג המדינה, יש זכות קניינית לשני בני הזוג בה. </w:t>
      </w:r>
      <w:r w:rsidR="00F16E19">
        <w:rPr>
          <w:rFonts w:hint="cs"/>
          <w:rtl/>
        </w:rPr>
        <w:t>לכן</w:t>
      </w:r>
      <w:r>
        <w:rPr>
          <w:rFonts w:hint="cs"/>
          <w:rtl/>
        </w:rPr>
        <w:t xml:space="preserve"> יש צורך להחתים את שני בני הזוג על הסכם בוררות בכל הנוגע לסכסוך המתעורר בנוגע לבעלות על הדירה או שיפוץ בה, גם אם הדירה רשומה רק על שם אחד מהם. </w:t>
      </w:r>
    </w:p>
    <w:p w14:paraId="476E644A" w14:textId="54800CC4" w:rsidR="00140EB0" w:rsidRDefault="00140EB0" w:rsidP="00140EB0">
      <w:pPr>
        <w:pStyle w:val="-6"/>
        <w:rPr>
          <w:rtl/>
        </w:rPr>
      </w:pPr>
      <w:r w:rsidRPr="00140EB0">
        <w:rPr>
          <w:rFonts w:hint="eastAsia"/>
          <w:b/>
          <w:bCs/>
          <w:rtl/>
        </w:rPr>
        <w:t>על</w:t>
      </w:r>
      <w:r w:rsidRPr="00140EB0">
        <w:rPr>
          <w:b/>
          <w:bCs/>
          <w:rtl/>
        </w:rPr>
        <w:t xml:space="preserve"> </w:t>
      </w:r>
      <w:r w:rsidRPr="00140EB0">
        <w:rPr>
          <w:rFonts w:hint="eastAsia"/>
          <w:b/>
          <w:bCs/>
          <w:rtl/>
        </w:rPr>
        <w:t>דירה</w:t>
      </w:r>
      <w:r w:rsidRPr="00140EB0">
        <w:rPr>
          <w:b/>
          <w:bCs/>
          <w:rtl/>
        </w:rPr>
        <w:t xml:space="preserve"> שאינה משמשת למגורי שני </w:t>
      </w:r>
      <w:r w:rsidRPr="00140EB0">
        <w:rPr>
          <w:rFonts w:hint="eastAsia"/>
          <w:b/>
          <w:bCs/>
          <w:rtl/>
        </w:rPr>
        <w:t>בני</w:t>
      </w:r>
      <w:r w:rsidRPr="00140EB0">
        <w:rPr>
          <w:b/>
          <w:bCs/>
          <w:rtl/>
        </w:rPr>
        <w:t xml:space="preserve"> </w:t>
      </w:r>
      <w:r w:rsidRPr="00140EB0">
        <w:rPr>
          <w:rFonts w:hint="eastAsia"/>
          <w:b/>
          <w:bCs/>
          <w:rtl/>
        </w:rPr>
        <w:t>הזוג</w:t>
      </w:r>
      <w:r w:rsidRPr="00140EB0">
        <w:rPr>
          <w:rFonts w:hint="cs"/>
          <w:b/>
          <w:bCs/>
          <w:rtl/>
        </w:rPr>
        <w:t>,</w:t>
      </w:r>
      <w:r>
        <w:rPr>
          <w:rFonts w:hint="cs"/>
          <w:rtl/>
        </w:rPr>
        <w:t xml:space="preserve"> אלא מושכרת</w:t>
      </w:r>
      <w:r w:rsidR="00F16E19">
        <w:rPr>
          <w:rFonts w:hint="cs"/>
          <w:rtl/>
        </w:rPr>
        <w:t xml:space="preserve">, </w:t>
      </w:r>
      <w:r>
        <w:rPr>
          <w:rFonts w:hint="cs"/>
          <w:rtl/>
        </w:rPr>
        <w:t>יחולו הכללים הבאים:</w:t>
      </w:r>
    </w:p>
    <w:p w14:paraId="710A3A9B" w14:textId="770040A4" w:rsidR="00140EB0" w:rsidRPr="001F2696" w:rsidRDefault="00140EB0" w:rsidP="001122F0">
      <w:pPr>
        <w:pStyle w:val="7"/>
        <w:rPr>
          <w:rtl/>
        </w:rPr>
      </w:pPr>
      <w:r>
        <w:rPr>
          <w:rFonts w:hint="cs"/>
          <w:rtl/>
        </w:rPr>
        <w:t xml:space="preserve">1. </w:t>
      </w:r>
      <w:r w:rsidRPr="001F2696">
        <w:rPr>
          <w:rFonts w:hint="cs"/>
          <w:rtl/>
        </w:rPr>
        <w:t>אם דמי השכירות נכנסים לחשבון המשותף</w:t>
      </w:r>
      <w:r w:rsidR="00F16E19">
        <w:rPr>
          <w:rFonts w:hint="cs"/>
          <w:rtl/>
        </w:rPr>
        <w:t>,</w:t>
      </w:r>
      <w:r w:rsidRPr="001F2696">
        <w:rPr>
          <w:rFonts w:hint="cs"/>
          <w:rtl/>
        </w:rPr>
        <w:t xml:space="preserve"> </w:t>
      </w:r>
      <w:r w:rsidR="00F16E19">
        <w:rPr>
          <w:rFonts w:hint="cs"/>
          <w:rtl/>
        </w:rPr>
        <w:t xml:space="preserve">גם אם הדירה רשומה רק על שם אחד מהם, </w:t>
      </w:r>
      <w:r w:rsidRPr="001F2696">
        <w:rPr>
          <w:rFonts w:hint="cs"/>
          <w:rtl/>
        </w:rPr>
        <w:t>מסתבר של</w:t>
      </w:r>
      <w:r w:rsidR="00F16E19">
        <w:rPr>
          <w:rFonts w:hint="cs"/>
          <w:rtl/>
        </w:rPr>
        <w:t>בן הזוג השני</w:t>
      </w:r>
      <w:r w:rsidRPr="001F2696">
        <w:rPr>
          <w:rFonts w:hint="cs"/>
          <w:rtl/>
        </w:rPr>
        <w:t xml:space="preserve"> יש זכות לפחות ברווחים המופקים מהדירה</w:t>
      </w:r>
      <w:r w:rsidR="00F16E19">
        <w:rPr>
          <w:rFonts w:hint="cs"/>
          <w:rtl/>
        </w:rPr>
        <w:t>,</w:t>
      </w:r>
      <w:r w:rsidRPr="001F2696">
        <w:rPr>
          <w:rFonts w:hint="cs"/>
          <w:rtl/>
        </w:rPr>
        <w:t xml:space="preserve"> ולכן </w:t>
      </w:r>
      <w:r>
        <w:rPr>
          <w:rFonts w:hint="cs"/>
          <w:rtl/>
        </w:rPr>
        <w:t xml:space="preserve">נדרשת </w:t>
      </w:r>
      <w:r w:rsidRPr="001F2696">
        <w:rPr>
          <w:rFonts w:hint="cs"/>
          <w:rtl/>
        </w:rPr>
        <w:t xml:space="preserve">חתימתו על הסכם </w:t>
      </w:r>
      <w:r>
        <w:rPr>
          <w:rFonts w:hint="cs"/>
          <w:rtl/>
        </w:rPr>
        <w:t>ה</w:t>
      </w:r>
      <w:r w:rsidRPr="001F2696">
        <w:rPr>
          <w:rFonts w:hint="cs"/>
          <w:rtl/>
        </w:rPr>
        <w:t>בוררות</w:t>
      </w:r>
      <w:r w:rsidR="00F16E19">
        <w:rPr>
          <w:rFonts w:hint="cs"/>
          <w:rtl/>
        </w:rPr>
        <w:t>.</w:t>
      </w:r>
      <w:r>
        <w:rPr>
          <w:rFonts w:hint="cs"/>
          <w:rtl/>
        </w:rPr>
        <w:t xml:space="preserve"> </w:t>
      </w:r>
    </w:p>
    <w:p w14:paraId="30773057" w14:textId="3BB09CE2" w:rsidR="00140EB0" w:rsidRPr="001F2696" w:rsidRDefault="00140EB0" w:rsidP="00140EB0">
      <w:pPr>
        <w:pStyle w:val="7"/>
        <w:rPr>
          <w:rtl/>
        </w:rPr>
      </w:pPr>
      <w:r>
        <w:rPr>
          <w:rFonts w:hint="cs"/>
          <w:rtl/>
        </w:rPr>
        <w:t>2.</w:t>
      </w:r>
      <w:r>
        <w:rPr>
          <w:rtl/>
        </w:rPr>
        <w:tab/>
      </w:r>
      <w:r w:rsidRPr="001F2696">
        <w:rPr>
          <w:rFonts w:hint="cs"/>
          <w:rtl/>
        </w:rPr>
        <w:t xml:space="preserve">אם דמי השכירות נכנסים לחשבון הבנק הפרטי של </w:t>
      </w:r>
      <w:r w:rsidR="00F16E19">
        <w:rPr>
          <w:rFonts w:hint="cs"/>
          <w:rtl/>
        </w:rPr>
        <w:t>בן הזוג שהדירה רשומה על שמו,</w:t>
      </w:r>
      <w:r w:rsidRPr="001F2696">
        <w:rPr>
          <w:rFonts w:hint="cs"/>
          <w:rtl/>
        </w:rPr>
        <w:t xml:space="preserve"> אזי יש להבחין בין המקרים הבאים:</w:t>
      </w:r>
    </w:p>
    <w:p w14:paraId="67863FF6" w14:textId="69AD6D93" w:rsidR="00140EB0" w:rsidRPr="00B15960" w:rsidRDefault="00140EB0" w:rsidP="00140EB0">
      <w:pPr>
        <w:pStyle w:val="7"/>
      </w:pPr>
      <w:r>
        <w:rPr>
          <w:rtl/>
        </w:rPr>
        <w:tab/>
      </w:r>
      <w:r>
        <w:rPr>
          <w:rFonts w:hint="cs"/>
          <w:rtl/>
        </w:rPr>
        <w:t xml:space="preserve">א. </w:t>
      </w:r>
      <w:r w:rsidRPr="00B15960">
        <w:rPr>
          <w:rFonts w:hint="eastAsia"/>
          <w:rtl/>
        </w:rPr>
        <w:t>אם</w:t>
      </w:r>
      <w:r w:rsidRPr="00B15960">
        <w:rPr>
          <w:rtl/>
        </w:rPr>
        <w:t xml:space="preserve"> </w:t>
      </w:r>
      <w:r w:rsidRPr="00B15960">
        <w:rPr>
          <w:rFonts w:hint="eastAsia"/>
          <w:rtl/>
        </w:rPr>
        <w:t>הדירה</w:t>
      </w:r>
      <w:r w:rsidRPr="00B15960">
        <w:rPr>
          <w:rtl/>
        </w:rPr>
        <w:t xml:space="preserve"> </w:t>
      </w:r>
      <w:r w:rsidRPr="00B15960">
        <w:rPr>
          <w:rFonts w:hint="eastAsia"/>
          <w:rtl/>
        </w:rPr>
        <w:t>נקנתה</w:t>
      </w:r>
      <w:r w:rsidRPr="00B15960">
        <w:rPr>
          <w:rtl/>
        </w:rPr>
        <w:t xml:space="preserve"> במשותף על ידי </w:t>
      </w:r>
      <w:r>
        <w:rPr>
          <w:rFonts w:hint="cs"/>
          <w:rtl/>
        </w:rPr>
        <w:t xml:space="preserve">שני </w:t>
      </w:r>
      <w:r w:rsidRPr="00B15960">
        <w:rPr>
          <w:rtl/>
        </w:rPr>
        <w:t>בני הזוג להשקעה</w:t>
      </w:r>
      <w:r>
        <w:rPr>
          <w:rFonts w:hint="cs"/>
          <w:rtl/>
        </w:rPr>
        <w:t>,</w:t>
      </w:r>
      <w:r w:rsidRPr="00B15960">
        <w:rPr>
          <w:rtl/>
        </w:rPr>
        <w:t xml:space="preserve"> </w:t>
      </w:r>
      <w:r>
        <w:rPr>
          <w:rFonts w:hint="cs"/>
          <w:rtl/>
        </w:rPr>
        <w:t>ונר</w:t>
      </w:r>
      <w:r>
        <w:rPr>
          <w:rtl/>
        </w:rPr>
        <w:t>ש</w:t>
      </w:r>
      <w:r>
        <w:rPr>
          <w:rFonts w:hint="cs"/>
          <w:rtl/>
        </w:rPr>
        <w:t xml:space="preserve">מה על שם אחד מהם </w:t>
      </w:r>
      <w:r w:rsidR="00990163">
        <w:rPr>
          <w:rtl/>
        </w:rPr>
        <w:t>-</w:t>
      </w:r>
      <w:r w:rsidRPr="00B15960">
        <w:rPr>
          <w:rtl/>
        </w:rPr>
        <w:t xml:space="preserve"> </w:t>
      </w:r>
      <w:r>
        <w:rPr>
          <w:rFonts w:hint="cs"/>
          <w:rtl/>
        </w:rPr>
        <w:t>חזקה שהדירה שייכת לשני בני הזוג</w:t>
      </w:r>
      <w:r w:rsidRPr="00B15960">
        <w:rPr>
          <w:rtl/>
        </w:rPr>
        <w:t>.</w:t>
      </w:r>
    </w:p>
    <w:p w14:paraId="2450AFB6" w14:textId="2554A287" w:rsidR="00140EB0" w:rsidRDefault="00140EB0" w:rsidP="00140EB0">
      <w:pPr>
        <w:pStyle w:val="7"/>
      </w:pPr>
      <w:r>
        <w:rPr>
          <w:rtl/>
        </w:rPr>
        <w:tab/>
      </w:r>
      <w:r>
        <w:rPr>
          <w:rFonts w:hint="cs"/>
          <w:rtl/>
        </w:rPr>
        <w:t>ב. אם הדירה הייתה שייכת לאישה טרם נישואיה או שניתנה לה בירושה או במתנה</w:t>
      </w:r>
      <w:r w:rsidR="00F16E19">
        <w:rPr>
          <w:rFonts w:hint="cs"/>
          <w:rtl/>
        </w:rPr>
        <w:t xml:space="preserve"> או שנקנתה מכספי עבודתה</w:t>
      </w:r>
      <w:r>
        <w:rPr>
          <w:rFonts w:hint="cs"/>
          <w:rtl/>
        </w:rPr>
        <w:t xml:space="preserve"> (נכסי מלוג), הרי שאם שכר הדירה נכנס </w:t>
      </w:r>
      <w:r w:rsidRPr="002F6BB2">
        <w:rPr>
          <w:rFonts w:hint="cs"/>
          <w:rtl/>
        </w:rPr>
        <w:t xml:space="preserve">לחשבון </w:t>
      </w:r>
      <w:r>
        <w:rPr>
          <w:rFonts w:hint="cs"/>
          <w:rtl/>
        </w:rPr>
        <w:t xml:space="preserve">הבנק של </w:t>
      </w:r>
      <w:r w:rsidRPr="002F6BB2">
        <w:rPr>
          <w:rFonts w:hint="cs"/>
          <w:rtl/>
        </w:rPr>
        <w:t>האישה בלבד,</w:t>
      </w:r>
      <w:r>
        <w:rPr>
          <w:rFonts w:hint="cs"/>
          <w:rtl/>
        </w:rPr>
        <w:t xml:space="preserve"> נראה שניתן לייחס לבעל הקנאה בשתיקה של זכותו לרווחי הדירה בכל הנוגע לכספי עבר שכבר נכנסו לחשבונה של האישה (אלא אם כן יוכח שמחה במפורש על כך שהכספים נכנסים לחשבונה של האישה)</w:t>
      </w:r>
      <w:r w:rsidR="00F16E19">
        <w:rPr>
          <w:rFonts w:hint="cs"/>
          <w:rtl/>
        </w:rPr>
        <w:t>, ואין צורך להחתים אותו על הסכם בוררות בסכסוך על כספים אלו</w:t>
      </w:r>
      <w:r>
        <w:rPr>
          <w:rFonts w:hint="cs"/>
          <w:rtl/>
        </w:rPr>
        <w:t>.</w:t>
      </w:r>
      <w:r w:rsidR="00F16E19">
        <w:rPr>
          <w:rFonts w:hint="cs"/>
          <w:rtl/>
        </w:rPr>
        <w:t xml:space="preserve"> </w:t>
      </w:r>
      <w:r>
        <w:rPr>
          <w:rFonts w:hint="cs"/>
          <w:rtl/>
        </w:rPr>
        <w:t xml:space="preserve">בסכסוך הנוגע לרווחים שיגיעו בעתיד יש צורך להחתימו על הסכם הבוררות, שכן לא ניתן להניח הקנאה שבמחילה בדבר שטרם בא לעולם. </w:t>
      </w:r>
    </w:p>
    <w:p w14:paraId="4671AFCF" w14:textId="07CC98F9" w:rsidR="00140EB0" w:rsidRPr="0095610E" w:rsidRDefault="00140EB0" w:rsidP="00140EB0">
      <w:pPr>
        <w:pStyle w:val="7"/>
        <w:rPr>
          <w:rtl/>
        </w:rPr>
      </w:pPr>
      <w:r>
        <w:rPr>
          <w:rtl/>
        </w:rPr>
        <w:tab/>
      </w:r>
      <w:r w:rsidR="00F16E19">
        <w:rPr>
          <w:rFonts w:hint="cs"/>
          <w:rtl/>
        </w:rPr>
        <w:t>ג, אם הדירה נקנתה מכספי הבעל בלבד, ושכר הדירה נכנס לחשבון הבנק שלו, אין צורך להחתים את האישה על הסכם הבוררות.</w:t>
      </w:r>
    </w:p>
    <w:p w14:paraId="3421EEDA" w14:textId="2922FF61" w:rsidR="009217AD" w:rsidRDefault="00F16E19" w:rsidP="00140EB0">
      <w:pPr>
        <w:pStyle w:val="-6"/>
        <w:rPr>
          <w:rStyle w:val="af2"/>
          <w:rFonts w:cs="Miriam"/>
          <w:color w:val="auto"/>
          <w:sz w:val="24"/>
          <w:szCs w:val="40"/>
        </w:rPr>
      </w:pPr>
      <w:r>
        <w:rPr>
          <w:rFonts w:hint="cs"/>
          <w:rtl/>
        </w:rPr>
        <w:t>על פי</w:t>
      </w:r>
      <w:r w:rsidR="00140EB0">
        <w:rPr>
          <w:rFonts w:hint="cs"/>
          <w:rtl/>
        </w:rPr>
        <w:t xml:space="preserve"> האמור</w:t>
      </w:r>
      <w:r>
        <w:rPr>
          <w:rFonts w:hint="cs"/>
          <w:rtl/>
        </w:rPr>
        <w:t xml:space="preserve"> לעיל</w:t>
      </w:r>
      <w:r w:rsidR="00140EB0">
        <w:rPr>
          <w:rFonts w:hint="cs"/>
          <w:rtl/>
        </w:rPr>
        <w:t xml:space="preserve">, </w:t>
      </w:r>
      <w:r>
        <w:rPr>
          <w:rFonts w:hint="cs"/>
          <w:rtl/>
        </w:rPr>
        <w:t>נראה שברירת המחדל היא להמליץ</w:t>
      </w:r>
      <w:r w:rsidR="00140EB0">
        <w:rPr>
          <w:rFonts w:hint="cs"/>
          <w:rtl/>
        </w:rPr>
        <w:t xml:space="preserve"> שבכל מקרה שמגיע לבית הדין לממונות סכסוך הנוגע לנכס או לרווחיו ובעלי הדין נשואים, בית הדין יחתים את שני בני הזוג על הסכם הבוררות, גם אם הנכס רשום רק על שם אחד מהם והכספים נכנסים לחשבונו. אלא אם כן יוצג בפני בית הדין הסכם תקף ומפורש בין בני הזוג הקובע בלעדיות בבעלות על הנכס ועל רווחיו</w:t>
      </w:r>
      <w:r>
        <w:rPr>
          <w:rFonts w:hint="cs"/>
          <w:rtl/>
        </w:rPr>
        <w:t>, או שברור על פי האמור לעיל, שאין לבן הזוג השני כל נגיעה לנכס או לפירותיו.</w:t>
      </w:r>
    </w:p>
    <w:sectPr w:rsidR="009217AD" w:rsidSect="00D169DE">
      <w:footnotePr>
        <w:numRestart w:val="eachSect"/>
      </w:footnotePr>
      <w:type w:val="continuous"/>
      <w:pgSz w:w="11907" w:h="16840" w:code="9"/>
      <w:pgMar w:top="1531" w:right="2381" w:bottom="4706" w:left="2381" w:header="907" w:footer="720"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4EFAB0" w14:textId="77777777" w:rsidR="00F43BC6" w:rsidRDefault="00F43BC6">
      <w:r>
        <w:separator/>
      </w:r>
    </w:p>
  </w:endnote>
  <w:endnote w:type="continuationSeparator" w:id="0">
    <w:p w14:paraId="2F1D61DC" w14:textId="77777777" w:rsidR="00F43BC6" w:rsidRDefault="00F4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39EF2F" w14:textId="77777777" w:rsidR="00F43BC6" w:rsidRDefault="00F43BC6">
      <w:pPr>
        <w:pStyle w:val="af0"/>
      </w:pPr>
    </w:p>
  </w:footnote>
  <w:footnote w:type="continuationSeparator" w:id="0">
    <w:p w14:paraId="1C7ECEAE" w14:textId="77777777" w:rsidR="00F43BC6" w:rsidRDefault="00F43BC6">
      <w:pPr>
        <w:pStyle w:val="af0"/>
      </w:pPr>
    </w:p>
  </w:footnote>
  <w:footnote w:id="1">
    <w:p w14:paraId="3A3E1C31" w14:textId="6429CCE0" w:rsidR="003545E3" w:rsidRDefault="003545E3" w:rsidP="003545E3">
      <w:pPr>
        <w:pStyle w:val="-8"/>
        <w:rPr>
          <w:rFonts w:hint="cs"/>
          <w:rtl/>
        </w:rPr>
      </w:pPr>
      <w:r w:rsidRPr="003545E3">
        <w:rPr>
          <w:rtl/>
        </w:rPr>
        <w:t>*</w:t>
      </w:r>
      <w:r>
        <w:rPr>
          <w:rtl/>
        </w:rPr>
        <w:tab/>
      </w:r>
      <w:r w:rsidRPr="00794178">
        <w:rPr>
          <w:rFonts w:hint="cs"/>
          <w:rtl/>
        </w:rPr>
        <w:t xml:space="preserve">המאמר </w:t>
      </w:r>
      <w:r w:rsidRPr="00794178">
        <w:rPr>
          <w:rtl/>
        </w:rPr>
        <w:t>נכתב במסגרת מכון 'משפטי ארץ'</w:t>
      </w:r>
      <w:r w:rsidRPr="00794178">
        <w:rPr>
          <w:rFonts w:hint="cs"/>
          <w:rtl/>
        </w:rPr>
        <w:t>.</w:t>
      </w:r>
      <w:r w:rsidRPr="00794178">
        <w:rPr>
          <w:rtl/>
        </w:rPr>
        <w:t xml:space="preserve"> </w:t>
      </w:r>
      <w:r w:rsidRPr="00794178">
        <w:rPr>
          <w:rFonts w:hint="cs"/>
          <w:rtl/>
        </w:rPr>
        <w:t>אני</w:t>
      </w:r>
      <w:r w:rsidRPr="00794178">
        <w:rPr>
          <w:rtl/>
        </w:rPr>
        <w:t xml:space="preserve"> מודה לרב עדו ר</w:t>
      </w:r>
      <w:proofErr w:type="spellStart"/>
      <w:r w:rsidRPr="00794178">
        <w:rPr>
          <w:rtl/>
        </w:rPr>
        <w:t>כניץ</w:t>
      </w:r>
      <w:proofErr w:type="spellEnd"/>
      <w:r w:rsidRPr="00794178">
        <w:rPr>
          <w:rtl/>
        </w:rPr>
        <w:t xml:space="preserve"> ולרב אברהם </w:t>
      </w:r>
      <w:proofErr w:type="spellStart"/>
      <w:r w:rsidRPr="00794178">
        <w:rPr>
          <w:rtl/>
        </w:rPr>
        <w:t>ונגרובר</w:t>
      </w:r>
      <w:proofErr w:type="spellEnd"/>
      <w:r w:rsidRPr="00794178">
        <w:rPr>
          <w:rtl/>
        </w:rPr>
        <w:t xml:space="preserve"> על עזרתם </w:t>
      </w:r>
      <w:r w:rsidR="00794178" w:rsidRPr="00794178">
        <w:rPr>
          <w:rFonts w:hint="cs"/>
          <w:rtl/>
        </w:rPr>
        <w:t xml:space="preserve">הרבה </w:t>
      </w:r>
      <w:r w:rsidRPr="00794178">
        <w:rPr>
          <w:rtl/>
        </w:rPr>
        <w:t>בכתיבתו</w:t>
      </w:r>
      <w:r w:rsidRPr="00794178">
        <w:rPr>
          <w:rFonts w:hint="cs"/>
          <w:rtl/>
        </w:rPr>
        <w:t>.</w:t>
      </w:r>
    </w:p>
  </w:footnote>
  <w:footnote w:id="2">
    <w:p w14:paraId="4C7690D4" w14:textId="130CE5C1" w:rsidR="00140EB0" w:rsidRPr="00140EB0" w:rsidRDefault="00140EB0" w:rsidP="00140EB0">
      <w:pPr>
        <w:pStyle w:val="-8"/>
        <w:rPr>
          <w:rtl/>
        </w:rPr>
      </w:pPr>
      <w:r w:rsidRPr="00140EB0">
        <w:rPr>
          <w:rStyle w:val="ac"/>
          <w:vertAlign w:val="baseline"/>
          <w:rtl/>
        </w:rPr>
        <w:footnoteRef/>
      </w:r>
      <w:r>
        <w:rPr>
          <w:rStyle w:val="ac"/>
          <w:vertAlign w:val="baseline"/>
          <w:rtl/>
        </w:rPr>
        <w:t>.</w:t>
      </w:r>
      <w:r>
        <w:rPr>
          <w:rStyle w:val="ac"/>
          <w:vertAlign w:val="baseline"/>
          <w:rtl/>
        </w:rPr>
        <w:tab/>
      </w:r>
      <w:r w:rsidRPr="00140EB0">
        <w:rPr>
          <w:rFonts w:hint="cs"/>
          <w:rtl/>
        </w:rPr>
        <w:t>סעיפים 23, 24 לחוק הבוררות תשכ"ח</w:t>
      </w:r>
      <w:r w:rsidR="001122F0">
        <w:rPr>
          <w:rFonts w:hint="cs"/>
          <w:rtl/>
        </w:rPr>
        <w:t>-</w:t>
      </w:r>
      <w:r w:rsidRPr="00140EB0">
        <w:rPr>
          <w:rFonts w:hint="cs"/>
          <w:rtl/>
        </w:rPr>
        <w:t>1968.</w:t>
      </w:r>
    </w:p>
  </w:footnote>
  <w:footnote w:id="3">
    <w:p w14:paraId="7238EB8D" w14:textId="59B00874" w:rsidR="00140EB0" w:rsidRPr="00140EB0" w:rsidRDefault="00140EB0" w:rsidP="00140EB0">
      <w:pPr>
        <w:pStyle w:val="-8"/>
        <w:rPr>
          <w:rtl/>
        </w:rPr>
      </w:pPr>
      <w:r w:rsidRPr="00140EB0">
        <w:rPr>
          <w:rStyle w:val="ac"/>
          <w:vertAlign w:val="baseline"/>
          <w:rtl/>
        </w:rPr>
        <w:footnoteRef/>
      </w:r>
      <w:r>
        <w:rPr>
          <w:rStyle w:val="ac"/>
          <w:vertAlign w:val="baseline"/>
          <w:rtl/>
        </w:rPr>
        <w:t>.</w:t>
      </w:r>
      <w:r>
        <w:rPr>
          <w:rStyle w:val="ac"/>
          <w:vertAlign w:val="baseline"/>
          <w:rtl/>
        </w:rPr>
        <w:tab/>
      </w:r>
      <w:r w:rsidR="0048705A">
        <w:rPr>
          <w:rFonts w:hint="cs"/>
          <w:rtl/>
        </w:rPr>
        <w:t>ראו בספרו של</w:t>
      </w:r>
      <w:r w:rsidRPr="00140EB0">
        <w:rPr>
          <w:rFonts w:hint="cs"/>
          <w:rtl/>
        </w:rPr>
        <w:t xml:space="preserve"> שחר ליפשיץ, השיתוף</w:t>
      </w:r>
      <w:r w:rsidR="0048705A">
        <w:rPr>
          <w:rFonts w:hint="cs"/>
          <w:rtl/>
        </w:rPr>
        <w:t>-</w:t>
      </w:r>
      <w:r w:rsidRPr="00140EB0">
        <w:rPr>
          <w:rFonts w:hint="cs"/>
          <w:rtl/>
        </w:rPr>
        <w:t xml:space="preserve">הזוגי </w:t>
      </w:r>
      <w:r w:rsidR="0048705A">
        <w:rPr>
          <w:rFonts w:hint="cs"/>
          <w:rtl/>
        </w:rPr>
        <w:t>(</w:t>
      </w:r>
      <w:r w:rsidRPr="00140EB0">
        <w:rPr>
          <w:rFonts w:hint="cs"/>
          <w:rtl/>
        </w:rPr>
        <w:t>שער שני פרק ה, עמ' 170-147</w:t>
      </w:r>
      <w:r w:rsidR="0048705A">
        <w:rPr>
          <w:rFonts w:hint="cs"/>
          <w:rtl/>
        </w:rPr>
        <w:t>)</w:t>
      </w:r>
      <w:r w:rsidRPr="00140EB0">
        <w:rPr>
          <w:rFonts w:hint="cs"/>
          <w:rtl/>
        </w:rPr>
        <w:t>.</w:t>
      </w:r>
    </w:p>
  </w:footnote>
  <w:footnote w:id="4">
    <w:p w14:paraId="0CB181A1" w14:textId="4F114BDC" w:rsidR="00140EB0" w:rsidRPr="00140EB0" w:rsidRDefault="00140EB0" w:rsidP="00140EB0">
      <w:pPr>
        <w:pStyle w:val="-8"/>
        <w:rPr>
          <w:rtl/>
        </w:rPr>
      </w:pPr>
      <w:r w:rsidRPr="00140EB0">
        <w:rPr>
          <w:rStyle w:val="ac"/>
          <w:vertAlign w:val="baseline"/>
          <w:rtl/>
        </w:rPr>
        <w:footnoteRef/>
      </w:r>
      <w:r>
        <w:rPr>
          <w:rStyle w:val="ac"/>
          <w:vertAlign w:val="baseline"/>
          <w:rtl/>
        </w:rPr>
        <w:t>.</w:t>
      </w:r>
      <w:r>
        <w:rPr>
          <w:rStyle w:val="ac"/>
          <w:vertAlign w:val="baseline"/>
          <w:rtl/>
        </w:rPr>
        <w:tab/>
      </w:r>
      <w:r w:rsidR="0048705A">
        <w:rPr>
          <w:rFonts w:hint="cs"/>
          <w:rtl/>
        </w:rPr>
        <w:t>ראו השיתוף-הזוגי (</w:t>
      </w:r>
      <w:r w:rsidRPr="00140EB0">
        <w:rPr>
          <w:rFonts w:hint="cs"/>
          <w:rtl/>
        </w:rPr>
        <w:t>שם פרק ו, עמ' 200-171</w:t>
      </w:r>
      <w:r w:rsidR="0048705A">
        <w:rPr>
          <w:rFonts w:hint="cs"/>
          <w:rtl/>
        </w:rPr>
        <w:t>)</w:t>
      </w:r>
      <w:r w:rsidRPr="00140EB0">
        <w:rPr>
          <w:rFonts w:hint="cs"/>
          <w:rtl/>
        </w:rPr>
        <w:t>.</w:t>
      </w:r>
    </w:p>
  </w:footnote>
  <w:footnote w:id="5">
    <w:p w14:paraId="10C6A547" w14:textId="70A430C0" w:rsidR="00140EB0" w:rsidRPr="00140EB0" w:rsidRDefault="00140EB0" w:rsidP="00140EB0">
      <w:pPr>
        <w:pStyle w:val="-8"/>
        <w:rPr>
          <w:rtl/>
        </w:rPr>
      </w:pPr>
      <w:r w:rsidRPr="00140EB0">
        <w:rPr>
          <w:rStyle w:val="ac"/>
          <w:vertAlign w:val="baseline"/>
          <w:rtl/>
        </w:rPr>
        <w:footnoteRef/>
      </w:r>
      <w:r>
        <w:rPr>
          <w:rStyle w:val="ac"/>
          <w:vertAlign w:val="baseline"/>
          <w:rtl/>
        </w:rPr>
        <w:t>.</w:t>
      </w:r>
      <w:r>
        <w:rPr>
          <w:rStyle w:val="ac"/>
          <w:vertAlign w:val="baseline"/>
          <w:rtl/>
        </w:rPr>
        <w:tab/>
      </w:r>
      <w:r w:rsidR="0048705A">
        <w:rPr>
          <w:rFonts w:hint="cs"/>
          <w:rtl/>
        </w:rPr>
        <w:t xml:space="preserve">ראו </w:t>
      </w:r>
      <w:r w:rsidRPr="00140EB0">
        <w:rPr>
          <w:rtl/>
        </w:rPr>
        <w:t xml:space="preserve">בע"א </w:t>
      </w:r>
      <w:r w:rsidRPr="00140EB0">
        <w:rPr>
          <w:rFonts w:hint="cs"/>
          <w:rtl/>
        </w:rPr>
        <w:t xml:space="preserve">3002/93 בן צבי נ' </w:t>
      </w:r>
      <w:proofErr w:type="spellStart"/>
      <w:r w:rsidRPr="00140EB0">
        <w:rPr>
          <w:rFonts w:hint="cs"/>
          <w:rtl/>
        </w:rPr>
        <w:t>סיטין</w:t>
      </w:r>
      <w:proofErr w:type="spellEnd"/>
      <w:r w:rsidRPr="00140EB0">
        <w:rPr>
          <w:rFonts w:hint="cs"/>
          <w:rtl/>
        </w:rPr>
        <w:t xml:space="preserve">, פ"ד מט(3) 5, 19, 1995. </w:t>
      </w:r>
    </w:p>
  </w:footnote>
  <w:footnote w:id="6">
    <w:p w14:paraId="1242774A" w14:textId="0D6B8E85" w:rsidR="009C4C57" w:rsidRPr="00140EB0" w:rsidRDefault="009C4C57" w:rsidP="009C4C57">
      <w:pPr>
        <w:pStyle w:val="afc"/>
        <w:rPr>
          <w:rtl/>
        </w:rPr>
      </w:pPr>
      <w:r w:rsidRPr="00140EB0">
        <w:rPr>
          <w:rStyle w:val="ac"/>
          <w:sz w:val="20"/>
          <w:szCs w:val="20"/>
          <w:vertAlign w:val="baseline"/>
          <w:rtl/>
        </w:rPr>
        <w:footnoteRef/>
      </w:r>
      <w:r>
        <w:rPr>
          <w:rStyle w:val="ac"/>
          <w:sz w:val="20"/>
          <w:szCs w:val="20"/>
          <w:vertAlign w:val="baseline"/>
          <w:rtl/>
        </w:rPr>
        <w:t>.</w:t>
      </w:r>
      <w:r>
        <w:rPr>
          <w:rStyle w:val="ac"/>
          <w:sz w:val="20"/>
          <w:szCs w:val="20"/>
          <w:vertAlign w:val="baseline"/>
          <w:rtl/>
        </w:rPr>
        <w:tab/>
      </w:r>
      <w:r>
        <w:rPr>
          <w:rFonts w:hint="cs"/>
          <w:rtl/>
        </w:rPr>
        <w:t xml:space="preserve">מדברי </w:t>
      </w:r>
      <w:r w:rsidRPr="00140EB0">
        <w:rPr>
          <w:rtl/>
        </w:rPr>
        <w:t xml:space="preserve">תוספות </w:t>
      </w:r>
      <w:r>
        <w:rPr>
          <w:rFonts w:hint="cs"/>
          <w:rtl/>
        </w:rPr>
        <w:t>(</w:t>
      </w:r>
      <w:r w:rsidRPr="00140EB0">
        <w:rPr>
          <w:rtl/>
        </w:rPr>
        <w:t xml:space="preserve">גיטין </w:t>
      </w:r>
      <w:proofErr w:type="spellStart"/>
      <w:r w:rsidRPr="00140EB0">
        <w:rPr>
          <w:rtl/>
        </w:rPr>
        <w:t>מז</w:t>
      </w:r>
      <w:r>
        <w:rPr>
          <w:rFonts w:hint="cs"/>
          <w:rtl/>
        </w:rPr>
        <w:t>,</w:t>
      </w:r>
      <w:r w:rsidRPr="00140EB0">
        <w:rPr>
          <w:rtl/>
        </w:rPr>
        <w:t>ב</w:t>
      </w:r>
      <w:proofErr w:type="spellEnd"/>
      <w:r w:rsidRPr="00140EB0">
        <w:rPr>
          <w:rtl/>
        </w:rPr>
        <w:t xml:space="preserve"> ד"ה </w:t>
      </w:r>
      <w:r w:rsidRPr="00140EB0">
        <w:rPr>
          <w:rFonts w:hint="cs"/>
          <w:rtl/>
        </w:rPr>
        <w:t>'</w:t>
      </w:r>
      <w:r w:rsidRPr="00140EB0">
        <w:rPr>
          <w:rtl/>
        </w:rPr>
        <w:t>ולביתך</w:t>
      </w:r>
      <w:r w:rsidRPr="00140EB0">
        <w:rPr>
          <w:rFonts w:hint="cs"/>
          <w:rtl/>
        </w:rPr>
        <w:t>'</w:t>
      </w:r>
      <w:r>
        <w:rPr>
          <w:rFonts w:hint="cs"/>
          <w:rtl/>
        </w:rPr>
        <w:t xml:space="preserve">) עולה, </w:t>
      </w:r>
      <w:r w:rsidRPr="009C4C57">
        <w:rPr>
          <w:rtl/>
        </w:rPr>
        <w:t xml:space="preserve">שהתקנות מבוססות על המנהג שרווח באותה תקופה, וחכמים רק עיגנו אותו. </w:t>
      </w:r>
      <w:r w:rsidRPr="00140EB0">
        <w:rPr>
          <w:rFonts w:hint="cs"/>
          <w:rtl/>
        </w:rPr>
        <w:t>וראו</w:t>
      </w:r>
      <w:r>
        <w:rPr>
          <w:rFonts w:hint="cs"/>
          <w:rtl/>
        </w:rPr>
        <w:t xml:space="preserve"> פסק דין של בית הדין הגדול</w:t>
      </w:r>
      <w:r w:rsidRPr="00140EB0">
        <w:rPr>
          <w:rFonts w:hint="cs"/>
          <w:rtl/>
        </w:rPr>
        <w:t xml:space="preserve"> </w:t>
      </w:r>
      <w:r>
        <w:rPr>
          <w:rFonts w:hint="cs"/>
          <w:rtl/>
        </w:rPr>
        <w:t>ב</w:t>
      </w:r>
      <w:r w:rsidRPr="00140EB0">
        <w:rPr>
          <w:rtl/>
        </w:rPr>
        <w:t>תיק 1145278/5.</w:t>
      </w:r>
    </w:p>
  </w:footnote>
  <w:footnote w:id="7">
    <w:p w14:paraId="5163C8CB" w14:textId="7CA50B9C" w:rsidR="00140EB0" w:rsidRPr="00140EB0" w:rsidRDefault="00140EB0" w:rsidP="00140EB0">
      <w:pPr>
        <w:pStyle w:val="-8"/>
        <w:rPr>
          <w:rtl/>
        </w:rPr>
      </w:pPr>
      <w:r w:rsidRPr="00140EB0">
        <w:rPr>
          <w:rStyle w:val="ac"/>
          <w:vertAlign w:val="baseline"/>
          <w:rtl/>
        </w:rPr>
        <w:footnoteRef/>
      </w:r>
      <w:r>
        <w:rPr>
          <w:rStyle w:val="ac"/>
          <w:vertAlign w:val="baseline"/>
          <w:rtl/>
        </w:rPr>
        <w:t>.</w:t>
      </w:r>
      <w:r>
        <w:rPr>
          <w:rStyle w:val="ac"/>
          <w:vertAlign w:val="baseline"/>
          <w:rtl/>
        </w:rPr>
        <w:tab/>
      </w:r>
      <w:r w:rsidR="009C4C57">
        <w:rPr>
          <w:rFonts w:ascii="David" w:hAnsi="David" w:hint="cs"/>
          <w:rtl/>
        </w:rPr>
        <w:t>ראו בהרחבה</w:t>
      </w:r>
      <w:r w:rsidRPr="00140EB0">
        <w:rPr>
          <w:rFonts w:hint="cs"/>
          <w:rtl/>
        </w:rPr>
        <w:t xml:space="preserve"> שמחה מירון, </w:t>
      </w:r>
      <w:r w:rsidR="009C4C57">
        <w:rPr>
          <w:rFonts w:hint="cs"/>
          <w:rtl/>
        </w:rPr>
        <w:t>'</w:t>
      </w:r>
      <w:r w:rsidRPr="00140EB0">
        <w:rPr>
          <w:rtl/>
        </w:rPr>
        <w:t>מעש</w:t>
      </w:r>
      <w:r w:rsidRPr="00140EB0">
        <w:rPr>
          <w:rFonts w:hint="cs"/>
          <w:rtl/>
        </w:rPr>
        <w:t>ה</w:t>
      </w:r>
      <w:r w:rsidRPr="00140EB0">
        <w:rPr>
          <w:rtl/>
        </w:rPr>
        <w:t xml:space="preserve"> ידיה של </w:t>
      </w:r>
      <w:proofErr w:type="spellStart"/>
      <w:r w:rsidRPr="00140EB0">
        <w:rPr>
          <w:rtl/>
        </w:rPr>
        <w:t>אשה</w:t>
      </w:r>
      <w:proofErr w:type="spellEnd"/>
      <w:r w:rsidRPr="00140EB0">
        <w:rPr>
          <w:rtl/>
        </w:rPr>
        <w:t xml:space="preserve"> עובדת</w:t>
      </w:r>
      <w:r w:rsidR="009C4C57">
        <w:rPr>
          <w:rFonts w:hint="cs"/>
          <w:rtl/>
        </w:rPr>
        <w:t>'</w:t>
      </w:r>
      <w:r w:rsidRPr="00140EB0">
        <w:rPr>
          <w:rFonts w:hint="cs"/>
          <w:rtl/>
        </w:rPr>
        <w:t xml:space="preserve"> </w:t>
      </w:r>
      <w:r w:rsidR="009C4C57">
        <w:rPr>
          <w:rFonts w:hint="cs"/>
          <w:rtl/>
        </w:rPr>
        <w:t>(</w:t>
      </w:r>
      <w:r w:rsidRPr="00140EB0">
        <w:rPr>
          <w:rFonts w:hint="cs"/>
          <w:rtl/>
        </w:rPr>
        <w:t xml:space="preserve">ניב </w:t>
      </w:r>
      <w:proofErr w:type="spellStart"/>
      <w:r w:rsidRPr="00140EB0">
        <w:rPr>
          <w:rFonts w:hint="cs"/>
          <w:rtl/>
        </w:rPr>
        <w:t>המדרשיה</w:t>
      </w:r>
      <w:proofErr w:type="spellEnd"/>
      <w:r w:rsidRPr="00140EB0">
        <w:rPr>
          <w:rFonts w:hint="cs"/>
          <w:rtl/>
        </w:rPr>
        <w:t xml:space="preserve"> יא עמ' 250-225</w:t>
      </w:r>
      <w:r w:rsidR="009C4C57">
        <w:rPr>
          <w:rFonts w:hint="cs"/>
          <w:rtl/>
        </w:rPr>
        <w:t>)</w:t>
      </w:r>
      <w:r w:rsidRPr="00140EB0">
        <w:rPr>
          <w:rFonts w:hint="cs"/>
          <w:rtl/>
        </w:rPr>
        <w:t xml:space="preserve">. </w:t>
      </w:r>
    </w:p>
  </w:footnote>
  <w:footnote w:id="8">
    <w:p w14:paraId="57D14A67" w14:textId="7CCC9753" w:rsidR="00140EB0" w:rsidRPr="00140EB0" w:rsidRDefault="00140EB0" w:rsidP="00140EB0">
      <w:pPr>
        <w:pStyle w:val="-8"/>
        <w:rPr>
          <w:rtl/>
        </w:rPr>
      </w:pPr>
      <w:r w:rsidRPr="00140EB0">
        <w:rPr>
          <w:rStyle w:val="ac"/>
          <w:vertAlign w:val="baseline"/>
          <w:rtl/>
        </w:rPr>
        <w:footnoteRef/>
      </w:r>
      <w:r>
        <w:rPr>
          <w:rStyle w:val="ac"/>
          <w:vertAlign w:val="baseline"/>
          <w:rtl/>
        </w:rPr>
        <w:t>.</w:t>
      </w:r>
      <w:r>
        <w:rPr>
          <w:rStyle w:val="ac"/>
          <w:vertAlign w:val="baseline"/>
          <w:rtl/>
        </w:rPr>
        <w:tab/>
      </w:r>
      <w:r w:rsidR="009C4C57">
        <w:rPr>
          <w:rFonts w:hint="cs"/>
          <w:rtl/>
        </w:rPr>
        <w:t xml:space="preserve">ראו </w:t>
      </w:r>
      <w:r w:rsidRPr="00140EB0">
        <w:rPr>
          <w:rFonts w:ascii="David" w:hAnsi="David"/>
          <w:rtl/>
        </w:rPr>
        <w:t>הרב נריה</w:t>
      </w:r>
      <w:r w:rsidRPr="00140EB0">
        <w:rPr>
          <w:rFonts w:ascii="David" w:hAnsi="David" w:hint="cs"/>
          <w:rtl/>
        </w:rPr>
        <w:t xml:space="preserve"> צבי</w:t>
      </w:r>
      <w:r w:rsidRPr="00140EB0">
        <w:rPr>
          <w:rFonts w:ascii="David" w:hAnsi="David"/>
          <w:rtl/>
        </w:rPr>
        <w:t xml:space="preserve">, </w:t>
      </w:r>
      <w:r w:rsidRPr="00140EB0">
        <w:rPr>
          <w:rFonts w:ascii="David" w:hAnsi="David" w:hint="cs"/>
          <w:rtl/>
        </w:rPr>
        <w:t>'</w:t>
      </w:r>
      <w:r w:rsidRPr="00140EB0">
        <w:rPr>
          <w:rFonts w:ascii="David" w:hAnsi="David"/>
          <w:rtl/>
        </w:rPr>
        <w:t xml:space="preserve">בעלות נשים נשואות בימינו וחיובן </w:t>
      </w:r>
      <w:proofErr w:type="spellStart"/>
      <w:r w:rsidRPr="00140EB0">
        <w:rPr>
          <w:rFonts w:ascii="David" w:hAnsi="David"/>
          <w:rtl/>
        </w:rPr>
        <w:t>בנזיקין</w:t>
      </w:r>
      <w:proofErr w:type="spellEnd"/>
      <w:r w:rsidRPr="00140EB0">
        <w:rPr>
          <w:rFonts w:ascii="David" w:hAnsi="David" w:hint="cs"/>
          <w:rtl/>
        </w:rPr>
        <w:t>'</w:t>
      </w:r>
      <w:r w:rsidRPr="00140EB0">
        <w:rPr>
          <w:rFonts w:ascii="David" w:hAnsi="David"/>
          <w:rtl/>
        </w:rPr>
        <w:t xml:space="preserve">, </w:t>
      </w:r>
      <w:proofErr w:type="spellStart"/>
      <w:r w:rsidRPr="00140EB0">
        <w:rPr>
          <w:rFonts w:ascii="David" w:hAnsi="David"/>
          <w:rtl/>
        </w:rPr>
        <w:t>תחומין</w:t>
      </w:r>
      <w:proofErr w:type="spellEnd"/>
      <w:r w:rsidRPr="00140EB0">
        <w:rPr>
          <w:rFonts w:ascii="David" w:hAnsi="David"/>
          <w:rtl/>
        </w:rPr>
        <w:t xml:space="preserve"> </w:t>
      </w:r>
      <w:proofErr w:type="spellStart"/>
      <w:r w:rsidRPr="00140EB0">
        <w:rPr>
          <w:rFonts w:ascii="David" w:hAnsi="David"/>
          <w:rtl/>
        </w:rPr>
        <w:t>מא</w:t>
      </w:r>
      <w:proofErr w:type="spellEnd"/>
      <w:r w:rsidRPr="00140EB0">
        <w:rPr>
          <w:rFonts w:ascii="David" w:hAnsi="David"/>
          <w:rtl/>
        </w:rPr>
        <w:t xml:space="preserve"> </w:t>
      </w:r>
      <w:r w:rsidR="009C4C57">
        <w:rPr>
          <w:rFonts w:ascii="David" w:hAnsi="David" w:hint="cs"/>
          <w:rtl/>
        </w:rPr>
        <w:t>(</w:t>
      </w:r>
      <w:r w:rsidRPr="00140EB0">
        <w:rPr>
          <w:rFonts w:ascii="David" w:hAnsi="David"/>
          <w:rtl/>
        </w:rPr>
        <w:t>עמ' 332</w:t>
      </w:r>
      <w:r w:rsidR="009C4C57">
        <w:rPr>
          <w:rFonts w:ascii="David" w:hAnsi="David" w:hint="cs"/>
          <w:rtl/>
        </w:rPr>
        <w:t>)</w:t>
      </w:r>
      <w:r w:rsidRPr="00140EB0">
        <w:rPr>
          <w:rFonts w:ascii="David" w:hAnsi="David" w:hint="cs"/>
          <w:rtl/>
        </w:rPr>
        <w:t>.</w:t>
      </w:r>
    </w:p>
  </w:footnote>
  <w:footnote w:id="9">
    <w:p w14:paraId="28FEA47E" w14:textId="53807963" w:rsidR="009C4C57" w:rsidRPr="00140EB0" w:rsidRDefault="009C4C57" w:rsidP="009C4C57">
      <w:pPr>
        <w:pStyle w:val="-8"/>
        <w:rPr>
          <w:rtl/>
        </w:rPr>
      </w:pPr>
      <w:r w:rsidRPr="00140EB0">
        <w:rPr>
          <w:rStyle w:val="ac"/>
          <w:vertAlign w:val="baseline"/>
          <w:rtl/>
        </w:rPr>
        <w:footnoteRef/>
      </w:r>
      <w:r>
        <w:rPr>
          <w:rStyle w:val="ac"/>
          <w:vertAlign w:val="baseline"/>
          <w:rtl/>
        </w:rPr>
        <w:t>.</w:t>
      </w:r>
      <w:r>
        <w:rPr>
          <w:rStyle w:val="ac"/>
          <w:vertAlign w:val="baseline"/>
          <w:rtl/>
        </w:rPr>
        <w:tab/>
      </w:r>
      <w:r>
        <w:rPr>
          <w:rFonts w:hint="cs"/>
          <w:rtl/>
        </w:rPr>
        <w:t>אמנם לדעת</w:t>
      </w:r>
      <w:r w:rsidRPr="00140EB0">
        <w:rPr>
          <w:rFonts w:hint="cs"/>
          <w:rtl/>
        </w:rPr>
        <w:t xml:space="preserve"> </w:t>
      </w:r>
      <w:proofErr w:type="spellStart"/>
      <w:r w:rsidRPr="00140EB0">
        <w:rPr>
          <w:rFonts w:hint="cs"/>
          <w:rtl/>
        </w:rPr>
        <w:t>הרשב"א</w:t>
      </w:r>
      <w:proofErr w:type="spellEnd"/>
      <w:r w:rsidR="00C93C4E">
        <w:rPr>
          <w:rFonts w:hint="cs"/>
          <w:rtl/>
        </w:rPr>
        <w:t xml:space="preserve"> (</w:t>
      </w:r>
      <w:r w:rsidR="00D169DE">
        <w:rPr>
          <w:rFonts w:hint="cs"/>
          <w:rtl/>
        </w:rPr>
        <w:t>שו"ת</w:t>
      </w:r>
      <w:r w:rsidR="00C93C4E">
        <w:rPr>
          <w:rFonts w:hint="cs"/>
          <w:rtl/>
        </w:rPr>
        <w:t xml:space="preserve"> </w:t>
      </w:r>
      <w:r w:rsidR="00D169DE">
        <w:rPr>
          <w:rFonts w:hint="cs"/>
          <w:rtl/>
        </w:rPr>
        <w:t>ח"</w:t>
      </w:r>
      <w:r w:rsidR="00C93C4E">
        <w:rPr>
          <w:rFonts w:hint="cs"/>
          <w:rtl/>
        </w:rPr>
        <w:t>א סי</w:t>
      </w:r>
      <w:r w:rsidR="00D169DE">
        <w:rPr>
          <w:rFonts w:hint="cs"/>
          <w:rtl/>
        </w:rPr>
        <w:t>'</w:t>
      </w:r>
      <w:r w:rsidR="00C93C4E">
        <w:rPr>
          <w:rFonts w:hint="cs"/>
          <w:rtl/>
        </w:rPr>
        <w:t xml:space="preserve"> </w:t>
      </w:r>
      <w:proofErr w:type="spellStart"/>
      <w:r w:rsidR="00C93C4E">
        <w:rPr>
          <w:rFonts w:hint="cs"/>
          <w:rtl/>
        </w:rPr>
        <w:t>תתקנז</w:t>
      </w:r>
      <w:proofErr w:type="spellEnd"/>
      <w:r w:rsidR="00C93C4E">
        <w:rPr>
          <w:rFonts w:hint="cs"/>
          <w:rtl/>
        </w:rPr>
        <w:t>)</w:t>
      </w:r>
      <w:r>
        <w:rPr>
          <w:rFonts w:hint="cs"/>
          <w:rtl/>
        </w:rPr>
        <w:t xml:space="preserve">, </w:t>
      </w:r>
      <w:r w:rsidRPr="00140EB0">
        <w:rPr>
          <w:rFonts w:hint="cs"/>
          <w:rtl/>
        </w:rPr>
        <w:t xml:space="preserve">הדבר </w:t>
      </w:r>
      <w:r>
        <w:rPr>
          <w:rFonts w:hint="cs"/>
          <w:rtl/>
        </w:rPr>
        <w:t>נכון</w:t>
      </w:r>
      <w:r w:rsidRPr="00140EB0">
        <w:rPr>
          <w:rFonts w:hint="cs"/>
          <w:rtl/>
        </w:rPr>
        <w:t xml:space="preserve"> רק אם ידוע שהאישה הביאה עמה כסף משלה בעת הנישואין. דיון </w:t>
      </w:r>
      <w:r>
        <w:rPr>
          <w:rFonts w:hint="cs"/>
          <w:rtl/>
        </w:rPr>
        <w:t>על כך</w:t>
      </w:r>
      <w:r w:rsidRPr="00140EB0">
        <w:rPr>
          <w:rFonts w:hint="cs"/>
          <w:rtl/>
        </w:rPr>
        <w:t xml:space="preserve"> בהקשר למציאות ימינו</w:t>
      </w:r>
      <w:r>
        <w:rPr>
          <w:rFonts w:hint="cs"/>
          <w:rtl/>
        </w:rPr>
        <w:t>,</w:t>
      </w:r>
      <w:r w:rsidRPr="00140EB0">
        <w:rPr>
          <w:rFonts w:hint="cs"/>
          <w:rtl/>
        </w:rPr>
        <w:t xml:space="preserve"> בה האישה אינה יכולה לרמות בעניין זה בשל הרישום בטאבו, ראו במאמרם של הרב שלמה בן יאיר והרב אריאל בראלי, 'מי הוא בעל הבית' </w:t>
      </w:r>
      <w:r>
        <w:rPr>
          <w:rFonts w:hint="cs"/>
          <w:rtl/>
        </w:rPr>
        <w:t>(</w:t>
      </w:r>
      <w:r w:rsidRPr="00140EB0">
        <w:rPr>
          <w:rFonts w:hint="cs"/>
          <w:rtl/>
        </w:rPr>
        <w:t xml:space="preserve">אמונת </w:t>
      </w:r>
      <w:proofErr w:type="spellStart"/>
      <w:r w:rsidRPr="00140EB0">
        <w:rPr>
          <w:rFonts w:hint="cs"/>
          <w:rtl/>
        </w:rPr>
        <w:t>עתיך</w:t>
      </w:r>
      <w:proofErr w:type="spellEnd"/>
      <w:r w:rsidRPr="00140EB0">
        <w:rPr>
          <w:rFonts w:hint="cs"/>
          <w:rtl/>
        </w:rPr>
        <w:t>, תמוז תשע"ג, עמ' 130-127</w:t>
      </w:r>
      <w:r>
        <w:rPr>
          <w:rFonts w:hint="cs"/>
          <w:rtl/>
        </w:rPr>
        <w:t>)</w:t>
      </w:r>
      <w:r w:rsidRPr="00140EB0">
        <w:rPr>
          <w:rFonts w:hint="cs"/>
          <w:rtl/>
        </w:rPr>
        <w:t>.</w:t>
      </w:r>
    </w:p>
  </w:footnote>
  <w:footnote w:id="10">
    <w:p w14:paraId="57BA8286" w14:textId="74F131C6" w:rsidR="00140EB0" w:rsidRPr="00140EB0" w:rsidRDefault="00140EB0" w:rsidP="00140EB0">
      <w:pPr>
        <w:pStyle w:val="-8"/>
        <w:rPr>
          <w:rtl/>
        </w:rPr>
      </w:pPr>
      <w:r w:rsidRPr="00140EB0">
        <w:rPr>
          <w:rStyle w:val="ac"/>
          <w:vertAlign w:val="baseline"/>
          <w:rtl/>
        </w:rPr>
        <w:footnoteRef/>
      </w:r>
      <w:r>
        <w:rPr>
          <w:rStyle w:val="ac"/>
          <w:vertAlign w:val="baseline"/>
          <w:rtl/>
        </w:rPr>
        <w:t>.</w:t>
      </w:r>
      <w:r>
        <w:rPr>
          <w:rStyle w:val="ac"/>
          <w:vertAlign w:val="baseline"/>
          <w:rtl/>
        </w:rPr>
        <w:tab/>
      </w:r>
      <w:r w:rsidRPr="00140EB0">
        <w:rPr>
          <w:rFonts w:hint="cs"/>
          <w:rtl/>
        </w:rPr>
        <w:t xml:space="preserve">ראו: </w:t>
      </w:r>
      <w:r w:rsidRPr="00140EB0">
        <w:rPr>
          <w:rtl/>
        </w:rPr>
        <w:t xml:space="preserve">פתחי חושן </w:t>
      </w:r>
      <w:r w:rsidR="00C46868">
        <w:rPr>
          <w:rFonts w:hint="cs"/>
          <w:rtl/>
        </w:rPr>
        <w:t>(</w:t>
      </w:r>
      <w:proofErr w:type="spellStart"/>
      <w:r w:rsidRPr="00140EB0">
        <w:rPr>
          <w:rtl/>
        </w:rPr>
        <w:t>ח"ז</w:t>
      </w:r>
      <w:proofErr w:type="spellEnd"/>
      <w:r w:rsidRPr="00140EB0">
        <w:rPr>
          <w:rtl/>
        </w:rPr>
        <w:t xml:space="preserve"> פ</w:t>
      </w:r>
      <w:r w:rsidR="00C46868">
        <w:rPr>
          <w:rFonts w:hint="cs"/>
          <w:rtl/>
        </w:rPr>
        <w:t>"</w:t>
      </w:r>
      <w:r w:rsidRPr="00140EB0">
        <w:rPr>
          <w:rtl/>
        </w:rPr>
        <w:t>ב סעיף יא</w:t>
      </w:r>
      <w:r w:rsidR="00C46868">
        <w:rPr>
          <w:rFonts w:hint="cs"/>
          <w:rtl/>
        </w:rPr>
        <w:t>)</w:t>
      </w:r>
      <w:r w:rsidRPr="00140EB0">
        <w:rPr>
          <w:rFonts w:hint="cs"/>
          <w:rtl/>
        </w:rPr>
        <w:t xml:space="preserve">; הרב שלמה אישון, 'עסקת מקרקעין שלא נרשמה בטאבו', </w:t>
      </w:r>
      <w:proofErr w:type="spellStart"/>
      <w:r w:rsidRPr="00140EB0">
        <w:rPr>
          <w:rFonts w:hint="cs"/>
          <w:rtl/>
        </w:rPr>
        <w:t>תחומין</w:t>
      </w:r>
      <w:proofErr w:type="spellEnd"/>
      <w:r w:rsidRPr="00140EB0">
        <w:rPr>
          <w:rFonts w:hint="cs"/>
          <w:rtl/>
        </w:rPr>
        <w:t xml:space="preserve"> </w:t>
      </w:r>
      <w:proofErr w:type="spellStart"/>
      <w:r w:rsidRPr="00140EB0">
        <w:rPr>
          <w:rFonts w:hint="cs"/>
          <w:rtl/>
        </w:rPr>
        <w:t>לז</w:t>
      </w:r>
      <w:proofErr w:type="spellEnd"/>
      <w:r w:rsidRPr="00140EB0">
        <w:rPr>
          <w:rFonts w:hint="cs"/>
          <w:rtl/>
        </w:rPr>
        <w:t xml:space="preserve"> </w:t>
      </w:r>
      <w:r w:rsidR="00C46868">
        <w:rPr>
          <w:rFonts w:hint="cs"/>
          <w:rtl/>
        </w:rPr>
        <w:t>(</w:t>
      </w:r>
      <w:r w:rsidRPr="00140EB0">
        <w:rPr>
          <w:rFonts w:hint="cs"/>
          <w:rtl/>
        </w:rPr>
        <w:t>עמ' 418</w:t>
      </w:r>
      <w:r w:rsidR="00C46868">
        <w:rPr>
          <w:rFonts w:hint="cs"/>
          <w:rtl/>
        </w:rPr>
        <w:t>)</w:t>
      </w:r>
      <w:r w:rsidRPr="00140EB0">
        <w:rPr>
          <w:rFonts w:hint="cs"/>
          <w:rtl/>
        </w:rPr>
        <w:t xml:space="preserve">; בית דין ארץ חמדה גזית בית שמש, </w:t>
      </w:r>
      <w:r w:rsidRPr="00140EB0">
        <w:rPr>
          <w:rtl/>
        </w:rPr>
        <w:t>תיק מספר 73078</w:t>
      </w:r>
      <w:r w:rsidRPr="00140EB0">
        <w:rPr>
          <w:rFonts w:hint="cs"/>
          <w:rtl/>
        </w:rPr>
        <w:t xml:space="preserve">, </w:t>
      </w:r>
      <w:r w:rsidRPr="00140EB0">
        <w:rPr>
          <w:rtl/>
        </w:rPr>
        <w:t>מחלוקת לגבי בעלּות על מחסנים בבית משותף</w:t>
      </w:r>
      <w:r w:rsidR="00961857">
        <w:rPr>
          <w:rFonts w:hint="cs"/>
          <w:rtl/>
        </w:rPr>
        <w:t xml:space="preserve">; </w:t>
      </w:r>
      <w:r w:rsidRPr="00140EB0">
        <w:rPr>
          <w:rFonts w:hint="cs"/>
          <w:rtl/>
        </w:rPr>
        <w:t>ממון</w:t>
      </w:r>
      <w:r w:rsidR="00961857">
        <w:rPr>
          <w:rFonts w:hint="cs"/>
          <w:rtl/>
        </w:rPr>
        <w:t>-</w:t>
      </w:r>
      <w:r w:rsidRPr="00140EB0">
        <w:rPr>
          <w:rFonts w:hint="cs"/>
          <w:rtl/>
        </w:rPr>
        <w:t>ודין 8</w:t>
      </w:r>
      <w:r w:rsidR="00961857">
        <w:rPr>
          <w:rFonts w:hint="cs"/>
          <w:rtl/>
        </w:rPr>
        <w:t>.</w:t>
      </w:r>
    </w:p>
  </w:footnote>
  <w:footnote w:id="11">
    <w:p w14:paraId="292E3F39" w14:textId="3518275D" w:rsidR="00140EB0" w:rsidRPr="00140EB0" w:rsidRDefault="00140EB0" w:rsidP="00140EB0">
      <w:pPr>
        <w:pStyle w:val="-8"/>
        <w:rPr>
          <w:rtl/>
        </w:rPr>
      </w:pPr>
      <w:r w:rsidRPr="00140EB0">
        <w:rPr>
          <w:rStyle w:val="ac"/>
          <w:vertAlign w:val="baseline"/>
          <w:rtl/>
        </w:rPr>
        <w:footnoteRef/>
      </w:r>
      <w:r>
        <w:rPr>
          <w:rStyle w:val="ac"/>
          <w:vertAlign w:val="baseline"/>
          <w:rtl/>
        </w:rPr>
        <w:t>.</w:t>
      </w:r>
      <w:r>
        <w:rPr>
          <w:rStyle w:val="ac"/>
          <w:vertAlign w:val="baseline"/>
          <w:rtl/>
        </w:rPr>
        <w:tab/>
      </w:r>
      <w:r w:rsidRPr="00140EB0">
        <w:rPr>
          <w:rFonts w:hint="cs"/>
          <w:rtl/>
        </w:rPr>
        <w:t xml:space="preserve">רע"א 8791/00 </w:t>
      </w:r>
      <w:r w:rsidRPr="008A5BB2">
        <w:rPr>
          <w:rFonts w:hint="cs"/>
          <w:rtl/>
        </w:rPr>
        <w:t xml:space="preserve">שלם נ' </w:t>
      </w:r>
      <w:proofErr w:type="spellStart"/>
      <w:r w:rsidRPr="008A5BB2">
        <w:rPr>
          <w:rFonts w:hint="cs"/>
          <w:rtl/>
        </w:rPr>
        <w:t>טווינקו</w:t>
      </w:r>
      <w:proofErr w:type="spellEnd"/>
      <w:r w:rsidRPr="008A5BB2">
        <w:rPr>
          <w:rFonts w:hint="cs"/>
          <w:rtl/>
        </w:rPr>
        <w:t xml:space="preserve"> בע"מ</w:t>
      </w:r>
      <w:r w:rsidRPr="00140EB0">
        <w:rPr>
          <w:rFonts w:hint="cs"/>
          <w:rtl/>
        </w:rPr>
        <w:t>, פ"ד סב(1) 165 (2006), פסקה 31 לפסק דינו של השופט אהרן ברק</w:t>
      </w:r>
      <w:r w:rsidR="008A5BB2">
        <w:rPr>
          <w:rFonts w:hint="cs"/>
          <w:rtl/>
        </w:rPr>
        <w:t>;</w:t>
      </w:r>
      <w:r w:rsidRPr="00140EB0">
        <w:rPr>
          <w:rFonts w:hint="cs"/>
          <w:rtl/>
        </w:rPr>
        <w:t xml:space="preserve"> </w:t>
      </w:r>
      <w:r w:rsidR="008A5BB2">
        <w:rPr>
          <w:rFonts w:hint="cs"/>
          <w:rtl/>
        </w:rPr>
        <w:t>השיתוף-הזוגי</w:t>
      </w:r>
      <w:r w:rsidRPr="00140EB0">
        <w:rPr>
          <w:rFonts w:hint="cs"/>
          <w:rtl/>
        </w:rPr>
        <w:t xml:space="preserve"> עמ' 206.</w:t>
      </w:r>
    </w:p>
  </w:footnote>
  <w:footnote w:id="12">
    <w:p w14:paraId="188EE32C" w14:textId="01E32A6A" w:rsidR="00140EB0" w:rsidRPr="00140EB0" w:rsidRDefault="00140EB0" w:rsidP="00140EB0">
      <w:pPr>
        <w:pStyle w:val="-8"/>
        <w:rPr>
          <w:rtl/>
        </w:rPr>
      </w:pPr>
      <w:r w:rsidRPr="00140EB0">
        <w:rPr>
          <w:rStyle w:val="ac"/>
          <w:vertAlign w:val="baseline"/>
          <w:rtl/>
        </w:rPr>
        <w:footnoteRef/>
      </w:r>
      <w:r>
        <w:rPr>
          <w:rStyle w:val="ac"/>
          <w:vertAlign w:val="baseline"/>
          <w:rtl/>
        </w:rPr>
        <w:t>.</w:t>
      </w:r>
      <w:r>
        <w:rPr>
          <w:rStyle w:val="ac"/>
          <w:vertAlign w:val="baseline"/>
          <w:rtl/>
        </w:rPr>
        <w:tab/>
      </w:r>
      <w:r w:rsidRPr="00140EB0">
        <w:rPr>
          <w:rFonts w:ascii="David" w:hAnsi="David" w:hint="cs"/>
          <w:sz w:val="24"/>
          <w:rtl/>
        </w:rPr>
        <w:t>נכסים אלה כוללים נכסי דלא ניידי, כדוגמת הדירה שאנו דנים בה, וכן נכסי ניידי שבהם לא נעסוק בהרחבה במאמר זה, כגון, רכב. אולם אם יוכח שהדירה הרשומה על שמה של האישה נקנתה באמצעות כספים המוגדרים כ'נכסי מלוג', הרי שגם אם היא נקנתה תוך כדי הנישואין, הדירה תוגדר לכאורה אף היא כ'נכסי מלוג' (אפשרות הנשמעת רחוקה למדי, אך יש לקחת אותה בחשבון בעת שקילת השאלה דנן)</w:t>
      </w:r>
      <w:r w:rsidRPr="00140EB0">
        <w:rPr>
          <w:rFonts w:hint="cs"/>
          <w:rtl/>
        </w:rPr>
        <w:t xml:space="preserve"> </w:t>
      </w:r>
      <w:r w:rsidR="00990163">
        <w:rPr>
          <w:rtl/>
        </w:rPr>
        <w:t>-</w:t>
      </w:r>
      <w:r w:rsidRPr="00140EB0">
        <w:rPr>
          <w:rFonts w:hint="cs"/>
          <w:rtl/>
        </w:rPr>
        <w:t xml:space="preserve"> </w:t>
      </w:r>
      <w:r w:rsidRPr="00140EB0">
        <w:rPr>
          <w:rFonts w:ascii="David" w:hAnsi="David" w:hint="cs"/>
          <w:sz w:val="24"/>
          <w:rtl/>
        </w:rPr>
        <w:t xml:space="preserve">ראו </w:t>
      </w:r>
      <w:r w:rsidRPr="00140EB0">
        <w:rPr>
          <w:rFonts w:ascii="David" w:hAnsi="David"/>
          <w:sz w:val="24"/>
          <w:rtl/>
        </w:rPr>
        <w:t xml:space="preserve">משנה כתובות </w:t>
      </w:r>
      <w:r w:rsidR="001703B7">
        <w:rPr>
          <w:rFonts w:ascii="David" w:hAnsi="David" w:hint="cs"/>
          <w:sz w:val="24"/>
          <w:rtl/>
        </w:rPr>
        <w:t>(</w:t>
      </w:r>
      <w:proofErr w:type="spellStart"/>
      <w:r w:rsidRPr="00140EB0">
        <w:rPr>
          <w:rFonts w:ascii="David" w:hAnsi="David"/>
          <w:sz w:val="24"/>
          <w:rtl/>
        </w:rPr>
        <w:t>עט</w:t>
      </w:r>
      <w:r w:rsidR="001703B7">
        <w:rPr>
          <w:rFonts w:ascii="David" w:hAnsi="David" w:hint="cs"/>
          <w:sz w:val="24"/>
          <w:rtl/>
        </w:rPr>
        <w:t>,</w:t>
      </w:r>
      <w:r w:rsidRPr="00140EB0">
        <w:rPr>
          <w:rFonts w:ascii="David" w:hAnsi="David"/>
          <w:sz w:val="24"/>
          <w:rtl/>
        </w:rPr>
        <w:t>א</w:t>
      </w:r>
      <w:proofErr w:type="spellEnd"/>
      <w:r w:rsidR="001703B7">
        <w:rPr>
          <w:rFonts w:ascii="David" w:hAnsi="David" w:hint="cs"/>
          <w:sz w:val="24"/>
          <w:rtl/>
        </w:rPr>
        <w:t>)</w:t>
      </w:r>
      <w:r w:rsidRPr="00140EB0">
        <w:rPr>
          <w:rFonts w:ascii="David" w:hAnsi="David" w:hint="cs"/>
          <w:sz w:val="24"/>
          <w:rtl/>
        </w:rPr>
        <w:t xml:space="preserve">; </w:t>
      </w:r>
      <w:proofErr w:type="spellStart"/>
      <w:r w:rsidRPr="00140EB0">
        <w:rPr>
          <w:rFonts w:ascii="David" w:hAnsi="David"/>
          <w:sz w:val="24"/>
          <w:rtl/>
        </w:rPr>
        <w:t>שו</w:t>
      </w:r>
      <w:proofErr w:type="spellEnd"/>
      <w:r w:rsidRPr="00140EB0">
        <w:rPr>
          <w:rFonts w:ascii="David" w:hAnsi="David"/>
          <w:sz w:val="24"/>
          <w:rtl/>
        </w:rPr>
        <w:t xml:space="preserve">''ע </w:t>
      </w:r>
      <w:r w:rsidR="001703B7">
        <w:rPr>
          <w:rFonts w:ascii="David" w:hAnsi="David" w:hint="cs"/>
          <w:sz w:val="24"/>
          <w:rtl/>
        </w:rPr>
        <w:t>(</w:t>
      </w:r>
      <w:proofErr w:type="spellStart"/>
      <w:r w:rsidRPr="00140EB0">
        <w:rPr>
          <w:rFonts w:ascii="David" w:hAnsi="David"/>
          <w:sz w:val="24"/>
          <w:rtl/>
        </w:rPr>
        <w:t>אה''ע</w:t>
      </w:r>
      <w:proofErr w:type="spellEnd"/>
      <w:r w:rsidRPr="00140EB0">
        <w:rPr>
          <w:rFonts w:ascii="David" w:hAnsi="David"/>
          <w:sz w:val="24"/>
          <w:rtl/>
        </w:rPr>
        <w:t xml:space="preserve"> </w:t>
      </w:r>
      <w:proofErr w:type="spellStart"/>
      <w:r w:rsidRPr="00140EB0">
        <w:rPr>
          <w:rFonts w:ascii="David" w:hAnsi="David"/>
          <w:sz w:val="24"/>
          <w:rtl/>
        </w:rPr>
        <w:t>פה</w:t>
      </w:r>
      <w:r w:rsidRPr="00140EB0">
        <w:rPr>
          <w:rFonts w:ascii="David" w:hAnsi="David" w:hint="cs"/>
          <w:sz w:val="24"/>
          <w:rtl/>
        </w:rPr>
        <w:t>,</w:t>
      </w:r>
      <w:r w:rsidRPr="00140EB0">
        <w:rPr>
          <w:rFonts w:ascii="David" w:hAnsi="David"/>
          <w:sz w:val="24"/>
          <w:rtl/>
        </w:rPr>
        <w:t>יג</w:t>
      </w:r>
      <w:proofErr w:type="spellEnd"/>
      <w:r w:rsidR="001703B7">
        <w:rPr>
          <w:rFonts w:ascii="David" w:hAnsi="David" w:hint="cs"/>
          <w:sz w:val="24"/>
          <w:rtl/>
        </w:rPr>
        <w:t>)</w:t>
      </w:r>
      <w:r w:rsidRPr="00140EB0">
        <w:rPr>
          <w:rFonts w:ascii="David" w:hAnsi="David" w:hint="cs"/>
          <w:sz w:val="24"/>
          <w:rtl/>
        </w:rPr>
        <w:t>:</w:t>
      </w:r>
      <w:r w:rsidRPr="00140EB0">
        <w:rPr>
          <w:rFonts w:ascii="David" w:hAnsi="David"/>
          <w:sz w:val="24"/>
          <w:rtl/>
        </w:rPr>
        <w:t xml:space="preserve"> </w:t>
      </w:r>
      <w:r w:rsidRPr="00140EB0">
        <w:rPr>
          <w:rFonts w:ascii="David" w:hAnsi="David" w:hint="cs"/>
          <w:sz w:val="24"/>
          <w:rtl/>
        </w:rPr>
        <w:t>"</w:t>
      </w:r>
      <w:r w:rsidRPr="00140EB0">
        <w:rPr>
          <w:rFonts w:ascii="David" w:hAnsi="David"/>
          <w:sz w:val="24"/>
          <w:rtl/>
        </w:rPr>
        <w:t>נפלו לה כספים</w:t>
      </w:r>
      <w:r w:rsidR="001703B7">
        <w:rPr>
          <w:rFonts w:ascii="David" w:hAnsi="David" w:hint="cs"/>
          <w:sz w:val="24"/>
          <w:rtl/>
        </w:rPr>
        <w:t>,</w:t>
      </w:r>
      <w:r w:rsidRPr="00140EB0">
        <w:rPr>
          <w:rFonts w:ascii="David" w:hAnsi="David"/>
          <w:sz w:val="24"/>
          <w:rtl/>
        </w:rPr>
        <w:t xml:space="preserve"> </w:t>
      </w:r>
      <w:r w:rsidR="001703B7">
        <w:rPr>
          <w:rFonts w:ascii="David" w:hAnsi="David" w:hint="cs"/>
          <w:sz w:val="24"/>
          <w:rtl/>
        </w:rPr>
        <w:t>י</w:t>
      </w:r>
      <w:r w:rsidRPr="00140EB0">
        <w:rPr>
          <w:rFonts w:ascii="David" w:hAnsi="David"/>
          <w:sz w:val="24"/>
          <w:rtl/>
        </w:rPr>
        <w:t>ילקח בהם קרקע והוא אוכל פירות</w:t>
      </w:r>
      <w:r w:rsidRPr="00140EB0">
        <w:rPr>
          <w:rFonts w:ascii="David" w:hAnsi="David" w:hint="cs"/>
          <w:sz w:val="24"/>
          <w:rtl/>
        </w:rPr>
        <w:t>".</w:t>
      </w:r>
    </w:p>
  </w:footnote>
  <w:footnote w:id="13">
    <w:p w14:paraId="4A685163" w14:textId="3E33CEAE" w:rsidR="003660C1" w:rsidRDefault="003660C1">
      <w:pPr>
        <w:pStyle w:val="a8"/>
      </w:pPr>
      <w:r w:rsidRPr="00F95A42">
        <w:rPr>
          <w:rFonts w:ascii="David" w:hAnsi="David"/>
          <w:color w:val="000000"/>
          <w:sz w:val="24"/>
          <w:rtl/>
          <w:lang w:eastAsia="he-IL"/>
        </w:rPr>
        <w:footnoteRef/>
      </w:r>
      <w:r w:rsidR="00F95A42">
        <w:rPr>
          <w:rFonts w:ascii="David" w:hAnsi="David" w:hint="cs"/>
          <w:color w:val="000000"/>
          <w:sz w:val="24"/>
          <w:rtl/>
          <w:lang w:eastAsia="he-IL"/>
        </w:rPr>
        <w:t>.</w:t>
      </w:r>
      <w:r w:rsidR="00F95A42">
        <w:rPr>
          <w:rFonts w:ascii="David" w:hAnsi="David"/>
          <w:color w:val="000000"/>
          <w:sz w:val="24"/>
          <w:rtl/>
          <w:lang w:eastAsia="he-IL"/>
        </w:rPr>
        <w:tab/>
      </w:r>
      <w:r w:rsidRPr="00F95A42">
        <w:rPr>
          <w:rFonts w:ascii="David" w:hAnsi="David" w:hint="cs"/>
          <w:color w:val="000000"/>
          <w:sz w:val="24"/>
          <w:rtl/>
          <w:lang w:eastAsia="he-IL"/>
        </w:rPr>
        <w:t>המאמר נכתב לפני שמחת תורה, ולצערנו ראינו שנפילה בשבי האויב עלולה להתרחש</w:t>
      </w:r>
      <w:r>
        <w:rPr>
          <w:rFonts w:hint="cs"/>
          <w:rtl/>
        </w:rPr>
        <w:t xml:space="preserve"> גם בימינו. מכל מקום, </w:t>
      </w:r>
      <w:r w:rsidR="003A4F0F">
        <w:rPr>
          <w:rFonts w:hint="cs"/>
          <w:rtl/>
        </w:rPr>
        <w:t>עומדים הדברים שנכתבו למעלה</w:t>
      </w:r>
      <w:r>
        <w:rPr>
          <w:rFonts w:hint="cs"/>
          <w:rtl/>
        </w:rPr>
        <w:t xml:space="preserve"> שהמדינה היא זו שאחראית במקרים כאלו, ובכל מקרה הפדיון אינו כספי.</w:t>
      </w:r>
    </w:p>
  </w:footnote>
  <w:footnote w:id="14">
    <w:p w14:paraId="74CFCF15" w14:textId="7E52FE2F" w:rsidR="00140EB0" w:rsidRPr="00140EB0" w:rsidRDefault="00140EB0" w:rsidP="00140EB0">
      <w:pPr>
        <w:pStyle w:val="-8"/>
        <w:rPr>
          <w:rtl/>
        </w:rPr>
      </w:pPr>
      <w:r w:rsidRPr="00140EB0">
        <w:rPr>
          <w:rStyle w:val="ac"/>
          <w:vertAlign w:val="baseline"/>
          <w:rtl/>
        </w:rPr>
        <w:footnoteRef/>
      </w:r>
      <w:r>
        <w:rPr>
          <w:rStyle w:val="ac"/>
          <w:vertAlign w:val="baseline"/>
          <w:rtl/>
        </w:rPr>
        <w:t>.</w:t>
      </w:r>
      <w:r>
        <w:rPr>
          <w:rStyle w:val="ac"/>
          <w:vertAlign w:val="baseline"/>
          <w:rtl/>
        </w:rPr>
        <w:tab/>
      </w:r>
      <w:r w:rsidR="001703B7">
        <w:rPr>
          <w:rFonts w:ascii="David" w:hAnsi="David" w:hint="cs"/>
          <w:rtl/>
        </w:rPr>
        <w:t xml:space="preserve">ראו </w:t>
      </w:r>
      <w:r w:rsidRPr="00140EB0">
        <w:rPr>
          <w:rFonts w:ascii="David" w:hAnsi="David"/>
          <w:rtl/>
        </w:rPr>
        <w:t xml:space="preserve">הרב יעקב אריאל, </w:t>
      </w:r>
      <w:r w:rsidRPr="00140EB0">
        <w:rPr>
          <w:rFonts w:ascii="David" w:hAnsi="David" w:hint="cs"/>
          <w:rtl/>
        </w:rPr>
        <w:t>'</w:t>
      </w:r>
      <w:r w:rsidRPr="00140EB0">
        <w:rPr>
          <w:rFonts w:ascii="David" w:hAnsi="David"/>
          <w:rtl/>
        </w:rPr>
        <w:t>מבנה המשפחה המודרנית</w:t>
      </w:r>
      <w:r w:rsidRPr="00140EB0">
        <w:rPr>
          <w:rFonts w:ascii="David" w:hAnsi="David" w:hint="cs"/>
          <w:rtl/>
        </w:rPr>
        <w:t xml:space="preserve"> </w:t>
      </w:r>
      <w:r w:rsidRPr="00140EB0">
        <w:rPr>
          <w:rFonts w:ascii="David" w:hAnsi="David"/>
          <w:rtl/>
        </w:rPr>
        <w:t>- השלכות הלכתיות</w:t>
      </w:r>
      <w:r w:rsidRPr="00140EB0">
        <w:rPr>
          <w:rFonts w:ascii="David" w:hAnsi="David" w:hint="cs"/>
          <w:rtl/>
        </w:rPr>
        <w:t>'</w:t>
      </w:r>
      <w:r w:rsidRPr="00140EB0">
        <w:rPr>
          <w:rFonts w:ascii="David" w:hAnsi="David"/>
          <w:rtl/>
        </w:rPr>
        <w:t xml:space="preserve">, </w:t>
      </w:r>
      <w:proofErr w:type="spellStart"/>
      <w:r w:rsidRPr="00140EB0">
        <w:rPr>
          <w:rFonts w:ascii="David" w:hAnsi="David"/>
          <w:rtl/>
        </w:rPr>
        <w:t>תחומין</w:t>
      </w:r>
      <w:proofErr w:type="spellEnd"/>
      <w:r w:rsidRPr="00140EB0">
        <w:rPr>
          <w:rFonts w:ascii="David" w:hAnsi="David"/>
          <w:rtl/>
        </w:rPr>
        <w:t xml:space="preserve"> </w:t>
      </w:r>
      <w:proofErr w:type="spellStart"/>
      <w:r w:rsidRPr="00140EB0">
        <w:rPr>
          <w:rFonts w:ascii="David" w:hAnsi="David"/>
          <w:rtl/>
        </w:rPr>
        <w:t>כב</w:t>
      </w:r>
      <w:proofErr w:type="spellEnd"/>
      <w:r w:rsidRPr="00140EB0">
        <w:rPr>
          <w:rFonts w:ascii="David" w:hAnsi="David"/>
          <w:rtl/>
        </w:rPr>
        <w:t xml:space="preserve"> </w:t>
      </w:r>
      <w:r w:rsidR="001703B7">
        <w:rPr>
          <w:rFonts w:ascii="David" w:hAnsi="David" w:hint="cs"/>
          <w:rtl/>
        </w:rPr>
        <w:t>(</w:t>
      </w:r>
      <w:r w:rsidRPr="00140EB0">
        <w:rPr>
          <w:rFonts w:ascii="David" w:hAnsi="David"/>
          <w:rtl/>
        </w:rPr>
        <w:t>עמ' 1</w:t>
      </w:r>
      <w:r w:rsidRPr="00140EB0">
        <w:rPr>
          <w:rFonts w:ascii="David" w:hAnsi="David" w:hint="cs"/>
          <w:rtl/>
        </w:rPr>
        <w:t>34</w:t>
      </w:r>
      <w:r w:rsidR="001703B7">
        <w:rPr>
          <w:rFonts w:ascii="David" w:hAnsi="David" w:hint="cs"/>
          <w:rtl/>
        </w:rPr>
        <w:t>).</w:t>
      </w:r>
      <w:r w:rsidRPr="00140EB0">
        <w:rPr>
          <w:rFonts w:ascii="David" w:hAnsi="David" w:hint="cs"/>
          <w:rtl/>
        </w:rPr>
        <w:t xml:space="preserve"> </w:t>
      </w:r>
    </w:p>
  </w:footnote>
  <w:footnote w:id="15">
    <w:p w14:paraId="6C5EB0F7" w14:textId="4A7FB70D" w:rsidR="00BA0199" w:rsidRPr="00140EB0" w:rsidRDefault="00BA0199" w:rsidP="00BA0199">
      <w:pPr>
        <w:pStyle w:val="-8"/>
        <w:rPr>
          <w:rtl/>
        </w:rPr>
      </w:pPr>
      <w:r w:rsidRPr="00140EB0">
        <w:rPr>
          <w:rStyle w:val="ac"/>
          <w:vertAlign w:val="baseline"/>
          <w:rtl/>
        </w:rPr>
        <w:footnoteRef/>
      </w:r>
      <w:r>
        <w:rPr>
          <w:rStyle w:val="ac"/>
          <w:vertAlign w:val="baseline"/>
          <w:rtl/>
        </w:rPr>
        <w:t>.</w:t>
      </w:r>
      <w:r>
        <w:rPr>
          <w:rStyle w:val="ac"/>
          <w:vertAlign w:val="baseline"/>
          <w:rtl/>
        </w:rPr>
        <w:tab/>
      </w:r>
      <w:r w:rsidRPr="00140EB0">
        <w:rPr>
          <w:rFonts w:hint="cs"/>
          <w:rtl/>
        </w:rPr>
        <w:t xml:space="preserve">תקנת </w:t>
      </w:r>
      <w:proofErr w:type="spellStart"/>
      <w:r w:rsidRPr="00140EB0">
        <w:rPr>
          <w:rFonts w:hint="cs"/>
          <w:rtl/>
        </w:rPr>
        <w:t>אושא</w:t>
      </w:r>
      <w:proofErr w:type="spellEnd"/>
      <w:r w:rsidRPr="00140EB0">
        <w:rPr>
          <w:rFonts w:hint="cs"/>
          <w:rtl/>
        </w:rPr>
        <w:t xml:space="preserve"> אינה תלויה בקיומה בפועל של </w:t>
      </w:r>
      <w:r>
        <w:rPr>
          <w:rFonts w:hint="cs"/>
          <w:rtl/>
        </w:rPr>
        <w:t>ה</w:t>
      </w:r>
      <w:r w:rsidRPr="00140EB0">
        <w:rPr>
          <w:rFonts w:hint="cs"/>
          <w:rtl/>
        </w:rPr>
        <w:t>זכות לפירות</w:t>
      </w:r>
      <w:r>
        <w:rPr>
          <w:rFonts w:hint="cs"/>
          <w:rtl/>
        </w:rPr>
        <w:t>,</w:t>
      </w:r>
      <w:r w:rsidRPr="00140EB0">
        <w:rPr>
          <w:rFonts w:hint="cs"/>
          <w:rtl/>
        </w:rPr>
        <w:t xml:space="preserve"> וקיימת גם כשהבעל הסתלק מזכותו בנכס, או במקרה שאינו זכאי באכילת פירות, ראו תוס</w:t>
      </w:r>
      <w:r>
        <w:rPr>
          <w:rFonts w:hint="cs"/>
          <w:rtl/>
        </w:rPr>
        <w:t>פות</w:t>
      </w:r>
      <w:r w:rsidRPr="00140EB0">
        <w:rPr>
          <w:rFonts w:hint="cs"/>
          <w:rtl/>
        </w:rPr>
        <w:t xml:space="preserve"> </w:t>
      </w:r>
      <w:r>
        <w:rPr>
          <w:rFonts w:hint="cs"/>
          <w:rtl/>
        </w:rPr>
        <w:t>(</w:t>
      </w:r>
      <w:proofErr w:type="spellStart"/>
      <w:r w:rsidRPr="00140EB0">
        <w:rPr>
          <w:rFonts w:hint="cs"/>
          <w:rtl/>
        </w:rPr>
        <w:t>ב''ק</w:t>
      </w:r>
      <w:proofErr w:type="spellEnd"/>
      <w:r w:rsidRPr="00140EB0">
        <w:rPr>
          <w:rFonts w:hint="cs"/>
          <w:rtl/>
        </w:rPr>
        <w:t xml:space="preserve"> </w:t>
      </w:r>
      <w:proofErr w:type="spellStart"/>
      <w:r w:rsidRPr="00140EB0">
        <w:rPr>
          <w:rFonts w:hint="cs"/>
          <w:rtl/>
        </w:rPr>
        <w:t>פח</w:t>
      </w:r>
      <w:r>
        <w:rPr>
          <w:rFonts w:hint="cs"/>
          <w:rtl/>
        </w:rPr>
        <w:t>,ב</w:t>
      </w:r>
      <w:proofErr w:type="spellEnd"/>
      <w:r w:rsidRPr="00140EB0">
        <w:rPr>
          <w:rFonts w:hint="cs"/>
          <w:rtl/>
        </w:rPr>
        <w:t xml:space="preserve"> </w:t>
      </w:r>
      <w:proofErr w:type="spellStart"/>
      <w:r w:rsidRPr="00140EB0">
        <w:rPr>
          <w:rFonts w:hint="cs"/>
          <w:rtl/>
        </w:rPr>
        <w:t>ד''ה</w:t>
      </w:r>
      <w:proofErr w:type="spellEnd"/>
      <w:r w:rsidRPr="00140EB0">
        <w:rPr>
          <w:rFonts w:hint="cs"/>
          <w:rtl/>
        </w:rPr>
        <w:t xml:space="preserve"> </w:t>
      </w:r>
      <w:proofErr w:type="spellStart"/>
      <w:r w:rsidRPr="00140EB0">
        <w:rPr>
          <w:rFonts w:hint="cs"/>
          <w:rtl/>
        </w:rPr>
        <w:t>באושא</w:t>
      </w:r>
      <w:proofErr w:type="spellEnd"/>
      <w:r w:rsidRPr="00140EB0">
        <w:rPr>
          <w:rFonts w:hint="cs"/>
          <w:rtl/>
        </w:rPr>
        <w:t xml:space="preserve"> וכתובות </w:t>
      </w:r>
      <w:proofErr w:type="spellStart"/>
      <w:r w:rsidRPr="00140EB0">
        <w:rPr>
          <w:rFonts w:hint="cs"/>
          <w:rtl/>
        </w:rPr>
        <w:t>נ</w:t>
      </w:r>
      <w:r>
        <w:rPr>
          <w:rFonts w:hint="cs"/>
          <w:rtl/>
        </w:rPr>
        <w:t>,</w:t>
      </w:r>
      <w:r w:rsidRPr="00140EB0">
        <w:rPr>
          <w:rFonts w:hint="cs"/>
          <w:rtl/>
        </w:rPr>
        <w:t>א</w:t>
      </w:r>
      <w:proofErr w:type="spellEnd"/>
      <w:r w:rsidRPr="00140EB0">
        <w:rPr>
          <w:rFonts w:hint="cs"/>
          <w:rtl/>
        </w:rPr>
        <w:t xml:space="preserve"> </w:t>
      </w:r>
      <w:proofErr w:type="spellStart"/>
      <w:r w:rsidRPr="00140EB0">
        <w:rPr>
          <w:rFonts w:hint="cs"/>
          <w:rtl/>
        </w:rPr>
        <w:t>ד''ה</w:t>
      </w:r>
      <w:proofErr w:type="spellEnd"/>
      <w:r w:rsidRPr="00140EB0">
        <w:rPr>
          <w:rFonts w:hint="cs"/>
          <w:rtl/>
        </w:rPr>
        <w:t xml:space="preserve"> הבעל</w:t>
      </w:r>
      <w:r>
        <w:rPr>
          <w:rFonts w:hint="cs"/>
          <w:rtl/>
        </w:rPr>
        <w:t>)</w:t>
      </w:r>
      <w:r w:rsidRPr="00140EB0">
        <w:rPr>
          <w:rFonts w:hint="cs"/>
          <w:rtl/>
        </w:rPr>
        <w:t>.</w:t>
      </w:r>
    </w:p>
  </w:footnote>
  <w:footnote w:id="16">
    <w:p w14:paraId="44997D62" w14:textId="5056F6C6" w:rsidR="00140EB0" w:rsidRPr="00140EB0" w:rsidRDefault="00140EB0" w:rsidP="00140EB0">
      <w:pPr>
        <w:pStyle w:val="-8"/>
        <w:rPr>
          <w:rtl/>
        </w:rPr>
      </w:pPr>
      <w:r w:rsidRPr="00140EB0">
        <w:rPr>
          <w:rStyle w:val="ac"/>
          <w:vertAlign w:val="baseline"/>
          <w:rtl/>
        </w:rPr>
        <w:footnoteRef/>
      </w:r>
      <w:r>
        <w:rPr>
          <w:rStyle w:val="ac"/>
          <w:vertAlign w:val="baseline"/>
          <w:rtl/>
        </w:rPr>
        <w:t>.</w:t>
      </w:r>
      <w:r>
        <w:rPr>
          <w:rStyle w:val="ac"/>
          <w:vertAlign w:val="baseline"/>
          <w:rtl/>
        </w:rPr>
        <w:tab/>
      </w:r>
      <w:r w:rsidRPr="00140EB0">
        <w:rPr>
          <w:rFonts w:hint="cs"/>
          <w:rtl/>
        </w:rPr>
        <w:t xml:space="preserve">ראו דיון הגמרא </w:t>
      </w:r>
      <w:r w:rsidR="000E4B33">
        <w:rPr>
          <w:rFonts w:hint="cs"/>
          <w:rtl/>
        </w:rPr>
        <w:t xml:space="preserve">(כתובות </w:t>
      </w:r>
      <w:proofErr w:type="spellStart"/>
      <w:r w:rsidR="000E4B33">
        <w:rPr>
          <w:rFonts w:hint="cs"/>
          <w:rtl/>
        </w:rPr>
        <w:t>פג,א</w:t>
      </w:r>
      <w:proofErr w:type="spellEnd"/>
      <w:r w:rsidR="000E4B33">
        <w:rPr>
          <w:rFonts w:hint="cs"/>
          <w:rtl/>
        </w:rPr>
        <w:t xml:space="preserve">) </w:t>
      </w:r>
      <w:r w:rsidRPr="00140EB0">
        <w:rPr>
          <w:rFonts w:hint="cs"/>
          <w:rtl/>
        </w:rPr>
        <w:t xml:space="preserve">בשאלה כיצד ניתן להסתלק מקניין קיים. </w:t>
      </w:r>
      <w:r w:rsidRPr="00140EB0">
        <w:rPr>
          <w:rFonts w:ascii="David" w:hAnsi="David"/>
          <w:rtl/>
        </w:rPr>
        <w:t xml:space="preserve">לעיון נוסף בהבנת </w:t>
      </w:r>
      <w:r w:rsidRPr="00140EB0">
        <w:rPr>
          <w:rFonts w:ascii="David" w:hAnsi="David" w:hint="cs"/>
          <w:rtl/>
        </w:rPr>
        <w:t>ה</w:t>
      </w:r>
      <w:r w:rsidRPr="00140EB0">
        <w:rPr>
          <w:rFonts w:ascii="David" w:hAnsi="David"/>
          <w:rtl/>
        </w:rPr>
        <w:t>שיטות ביחס ל</w:t>
      </w:r>
      <w:r w:rsidRPr="00140EB0">
        <w:rPr>
          <w:rFonts w:ascii="David" w:hAnsi="David" w:hint="cs"/>
          <w:rtl/>
        </w:rPr>
        <w:t>קניין גוף לפירות בנ</w:t>
      </w:r>
      <w:r w:rsidRPr="00140EB0">
        <w:rPr>
          <w:rFonts w:ascii="David" w:hAnsi="David"/>
          <w:rtl/>
        </w:rPr>
        <w:t>כסי מלוג של הא</w:t>
      </w:r>
      <w:r w:rsidRPr="00140EB0">
        <w:rPr>
          <w:rFonts w:ascii="David" w:hAnsi="David" w:hint="cs"/>
          <w:rtl/>
        </w:rPr>
        <w:t>י</w:t>
      </w:r>
      <w:r w:rsidRPr="00140EB0">
        <w:rPr>
          <w:rFonts w:ascii="David" w:hAnsi="David"/>
          <w:rtl/>
        </w:rPr>
        <w:t>שה</w:t>
      </w:r>
      <w:r w:rsidR="000E4B33">
        <w:rPr>
          <w:rFonts w:ascii="David" w:hAnsi="David" w:hint="cs"/>
          <w:rtl/>
        </w:rPr>
        <w:t>,</w:t>
      </w:r>
      <w:r w:rsidRPr="00140EB0">
        <w:rPr>
          <w:rFonts w:ascii="David" w:hAnsi="David"/>
          <w:rtl/>
        </w:rPr>
        <w:t xml:space="preserve"> ראו הרב אריה כץ, 'בעלות הבעל בנכסי מלוג לאור תקנת </w:t>
      </w:r>
      <w:proofErr w:type="spellStart"/>
      <w:r w:rsidRPr="00140EB0">
        <w:rPr>
          <w:rFonts w:ascii="David" w:hAnsi="David"/>
          <w:rtl/>
        </w:rPr>
        <w:t>אושא</w:t>
      </w:r>
      <w:proofErr w:type="spellEnd"/>
      <w:r w:rsidRPr="00140EB0">
        <w:rPr>
          <w:rFonts w:ascii="David" w:hAnsi="David"/>
          <w:rtl/>
        </w:rPr>
        <w:t>'</w:t>
      </w:r>
      <w:r w:rsidR="000E4B33">
        <w:rPr>
          <w:rFonts w:ascii="David" w:hAnsi="David" w:hint="cs"/>
          <w:rtl/>
        </w:rPr>
        <w:t xml:space="preserve"> (</w:t>
      </w:r>
      <w:r w:rsidRPr="00140EB0">
        <w:rPr>
          <w:rFonts w:ascii="David" w:hAnsi="David"/>
          <w:rtl/>
        </w:rPr>
        <w:t>חמדת</w:t>
      </w:r>
      <w:r w:rsidR="00D169DE">
        <w:rPr>
          <w:rFonts w:ascii="David" w:hAnsi="David" w:hint="cs"/>
          <w:rtl/>
        </w:rPr>
        <w:t>-</w:t>
      </w:r>
      <w:r w:rsidRPr="00140EB0">
        <w:rPr>
          <w:rFonts w:ascii="David" w:hAnsi="David"/>
          <w:rtl/>
        </w:rPr>
        <w:t xml:space="preserve">הארץ ב עמ' </w:t>
      </w:r>
      <w:r w:rsidRPr="00140EB0">
        <w:rPr>
          <w:rFonts w:ascii="David" w:hAnsi="David" w:hint="cs"/>
          <w:rtl/>
        </w:rPr>
        <w:t>269-248</w:t>
      </w:r>
      <w:r w:rsidR="000E4B33">
        <w:rPr>
          <w:rFonts w:ascii="David" w:hAnsi="David" w:hint="cs"/>
          <w:rtl/>
        </w:rPr>
        <w:t>)</w:t>
      </w:r>
      <w:r w:rsidRPr="00140EB0">
        <w:rPr>
          <w:rFonts w:ascii="David" w:hAnsi="David" w:hint="cs"/>
          <w:rtl/>
        </w:rPr>
        <w:t>.</w:t>
      </w:r>
    </w:p>
  </w:footnote>
  <w:footnote w:id="17">
    <w:p w14:paraId="6E4BF741" w14:textId="02C6C669" w:rsidR="000E4B33" w:rsidRPr="00140EB0" w:rsidRDefault="000E4B33" w:rsidP="000E4B33">
      <w:pPr>
        <w:pStyle w:val="-8"/>
        <w:rPr>
          <w:rFonts w:ascii="David" w:hAnsi="David"/>
          <w:rtl/>
        </w:rPr>
      </w:pPr>
      <w:r w:rsidRPr="00140EB0">
        <w:rPr>
          <w:rStyle w:val="ac"/>
          <w:rFonts w:ascii="David" w:hAnsi="David"/>
          <w:vertAlign w:val="baseline"/>
          <w:rtl/>
        </w:rPr>
        <w:footnoteRef/>
      </w:r>
      <w:r>
        <w:rPr>
          <w:rStyle w:val="ac"/>
          <w:rFonts w:ascii="David" w:hAnsi="David"/>
          <w:vertAlign w:val="baseline"/>
          <w:rtl/>
        </w:rPr>
        <w:t>.</w:t>
      </w:r>
      <w:r>
        <w:rPr>
          <w:rStyle w:val="ac"/>
          <w:rFonts w:ascii="David" w:hAnsi="David"/>
          <w:vertAlign w:val="baseline"/>
          <w:rtl/>
        </w:rPr>
        <w:tab/>
      </w:r>
      <w:r>
        <w:rPr>
          <w:rFonts w:ascii="David" w:hAnsi="David" w:hint="cs"/>
          <w:rtl/>
        </w:rPr>
        <w:t>ראו שם</w:t>
      </w:r>
      <w:r w:rsidRPr="00140EB0">
        <w:rPr>
          <w:rFonts w:ascii="David" w:hAnsi="David"/>
          <w:rtl/>
        </w:rPr>
        <w:t xml:space="preserve"> </w:t>
      </w:r>
      <w:r>
        <w:rPr>
          <w:rFonts w:ascii="David" w:hAnsi="David" w:hint="cs"/>
          <w:rtl/>
        </w:rPr>
        <w:t>(</w:t>
      </w:r>
      <w:proofErr w:type="spellStart"/>
      <w:r w:rsidRPr="00140EB0">
        <w:rPr>
          <w:rFonts w:ascii="David" w:hAnsi="David"/>
          <w:rtl/>
        </w:rPr>
        <w:t>עח</w:t>
      </w:r>
      <w:r w:rsidRPr="00140EB0">
        <w:rPr>
          <w:rFonts w:ascii="David" w:hAnsi="David" w:hint="cs"/>
          <w:rtl/>
        </w:rPr>
        <w:t>,</w:t>
      </w:r>
      <w:r w:rsidRPr="00140EB0">
        <w:rPr>
          <w:rFonts w:ascii="David" w:hAnsi="David"/>
          <w:rtl/>
        </w:rPr>
        <w:t>א</w:t>
      </w:r>
      <w:proofErr w:type="spellEnd"/>
      <w:r>
        <w:rPr>
          <w:rFonts w:ascii="David" w:hAnsi="David" w:hint="cs"/>
          <w:rtl/>
        </w:rPr>
        <w:t>), שהוא הדין שהבעל אינו יכול להסתלק מחיוב הפדיון גם אם הוא מוותר על אכילת הפירות</w:t>
      </w:r>
      <w:r w:rsidRPr="00140EB0">
        <w:rPr>
          <w:rFonts w:ascii="David" w:hAnsi="David"/>
          <w:rtl/>
        </w:rPr>
        <w:t>.</w:t>
      </w:r>
    </w:p>
  </w:footnote>
  <w:footnote w:id="18">
    <w:p w14:paraId="4F2FBF04" w14:textId="6888F199" w:rsidR="00140EB0" w:rsidRPr="00140EB0" w:rsidRDefault="00140EB0" w:rsidP="00140EB0">
      <w:pPr>
        <w:pStyle w:val="-8"/>
        <w:rPr>
          <w:rtl/>
        </w:rPr>
      </w:pPr>
      <w:r w:rsidRPr="00140EB0">
        <w:rPr>
          <w:rStyle w:val="ac"/>
          <w:vertAlign w:val="baseline"/>
          <w:rtl/>
        </w:rPr>
        <w:footnoteRef/>
      </w:r>
      <w:r>
        <w:rPr>
          <w:rStyle w:val="ac"/>
          <w:vertAlign w:val="baseline"/>
          <w:rtl/>
        </w:rPr>
        <w:t>.</w:t>
      </w:r>
      <w:r>
        <w:rPr>
          <w:rStyle w:val="ac"/>
          <w:vertAlign w:val="baseline"/>
          <w:rtl/>
        </w:rPr>
        <w:tab/>
      </w:r>
      <w:r w:rsidRPr="00140EB0">
        <w:rPr>
          <w:rFonts w:ascii="David" w:hAnsi="David" w:hint="cs"/>
          <w:rtl/>
        </w:rPr>
        <w:t xml:space="preserve">אמנם </w:t>
      </w:r>
      <w:r w:rsidR="00280888">
        <w:rPr>
          <w:rFonts w:ascii="David" w:hAnsi="David" w:hint="cs"/>
          <w:rtl/>
        </w:rPr>
        <w:t>קיים</w:t>
      </w:r>
      <w:r w:rsidRPr="00140EB0">
        <w:rPr>
          <w:rFonts w:ascii="David" w:hAnsi="David" w:hint="cs"/>
          <w:rtl/>
        </w:rPr>
        <w:t xml:space="preserve"> ספק האם </w:t>
      </w:r>
      <w:r w:rsidRPr="00140EB0">
        <w:rPr>
          <w:rFonts w:ascii="David" w:hAnsi="David"/>
          <w:rtl/>
        </w:rPr>
        <w:t>שחרור בערבות דומה לנפילה בשבי</w:t>
      </w:r>
      <w:r w:rsidRPr="00140EB0">
        <w:rPr>
          <w:rFonts w:ascii="David" w:hAnsi="David" w:hint="cs"/>
          <w:rtl/>
        </w:rPr>
        <w:t xml:space="preserve"> שעליה אין האישה יכולה לוותר, שהרי</w:t>
      </w:r>
      <w:r w:rsidRPr="00140EB0">
        <w:rPr>
          <w:rFonts w:ascii="David" w:hAnsi="David"/>
          <w:rtl/>
        </w:rPr>
        <w:t xml:space="preserve"> </w:t>
      </w:r>
      <w:r w:rsidRPr="00140EB0">
        <w:rPr>
          <w:rFonts w:ascii="David" w:hAnsi="David" w:hint="cs"/>
          <w:rtl/>
        </w:rPr>
        <w:t xml:space="preserve">בכלא לכאורה </w:t>
      </w:r>
      <w:r w:rsidRPr="00140EB0">
        <w:rPr>
          <w:rFonts w:ascii="David" w:hAnsi="David"/>
          <w:rtl/>
        </w:rPr>
        <w:t xml:space="preserve">אין חשש </w:t>
      </w:r>
      <w:r w:rsidRPr="00140EB0">
        <w:rPr>
          <w:rFonts w:ascii="David" w:hAnsi="David" w:hint="cs"/>
          <w:rtl/>
        </w:rPr>
        <w:t>ש</w:t>
      </w:r>
      <w:r w:rsidRPr="00140EB0">
        <w:rPr>
          <w:rFonts w:ascii="David" w:hAnsi="David"/>
          <w:rtl/>
        </w:rPr>
        <w:t xml:space="preserve">תצא לשמד. </w:t>
      </w:r>
      <w:r w:rsidRPr="00140EB0">
        <w:rPr>
          <w:rFonts w:ascii="David" w:hAnsi="David" w:hint="cs"/>
          <w:rtl/>
        </w:rPr>
        <w:t xml:space="preserve">אולם ייתכן לומר שחכמים לא התכוונו לחלק </w:t>
      </w:r>
      <w:r w:rsidRPr="00140EB0">
        <w:rPr>
          <w:rFonts w:ascii="David" w:hAnsi="David"/>
          <w:rtl/>
        </w:rPr>
        <w:t xml:space="preserve">בין </w:t>
      </w:r>
      <w:r w:rsidRPr="00140EB0">
        <w:rPr>
          <w:rFonts w:ascii="David" w:hAnsi="David" w:hint="cs"/>
          <w:rtl/>
        </w:rPr>
        <w:t xml:space="preserve">סוגי כליאה ושבי שונים, וגם </w:t>
      </w:r>
      <w:r w:rsidRPr="00140EB0">
        <w:rPr>
          <w:rFonts w:ascii="David" w:hAnsi="David"/>
          <w:rtl/>
        </w:rPr>
        <w:t>במקום שאין חשש לשמד</w:t>
      </w:r>
      <w:r w:rsidR="00280888">
        <w:rPr>
          <w:rFonts w:ascii="David" w:hAnsi="David" w:hint="cs"/>
          <w:rtl/>
        </w:rPr>
        <w:t>,</w:t>
      </w:r>
      <w:r w:rsidRPr="00140EB0">
        <w:rPr>
          <w:rFonts w:ascii="David" w:hAnsi="David"/>
          <w:rtl/>
        </w:rPr>
        <w:t xml:space="preserve"> </w:t>
      </w:r>
      <w:r w:rsidRPr="00140EB0">
        <w:rPr>
          <w:rFonts w:ascii="David" w:hAnsi="David" w:hint="cs"/>
          <w:rtl/>
        </w:rPr>
        <w:t>הבעל חייב לשחרר את אשתו ממאסר, במיוחד על רקע נימוקם השני של התוספות לדין, אשר אינו מבוסס על חשש שמד, אלא על הנחת בעלות של הבעל בגוף הנכסים.</w:t>
      </w:r>
    </w:p>
  </w:footnote>
  <w:footnote w:id="19">
    <w:p w14:paraId="75BFCCA0" w14:textId="4E1F3FEE" w:rsidR="00140EB0" w:rsidRPr="00140EB0" w:rsidRDefault="00140EB0" w:rsidP="00140EB0">
      <w:pPr>
        <w:pStyle w:val="-8"/>
        <w:rPr>
          <w:rtl/>
        </w:rPr>
      </w:pPr>
      <w:r w:rsidRPr="00140EB0">
        <w:rPr>
          <w:rStyle w:val="ac"/>
          <w:vertAlign w:val="baseline"/>
          <w:rtl/>
        </w:rPr>
        <w:footnoteRef/>
      </w:r>
      <w:r>
        <w:rPr>
          <w:rStyle w:val="ac"/>
          <w:vertAlign w:val="baseline"/>
          <w:rtl/>
        </w:rPr>
        <w:t>.</w:t>
      </w:r>
      <w:r>
        <w:rPr>
          <w:rStyle w:val="ac"/>
          <w:vertAlign w:val="baseline"/>
          <w:rtl/>
        </w:rPr>
        <w:tab/>
      </w:r>
      <w:r w:rsidRPr="00140EB0">
        <w:rPr>
          <w:rFonts w:hint="cs"/>
          <w:rtl/>
        </w:rPr>
        <w:t xml:space="preserve">ראו רמ"א </w:t>
      </w:r>
      <w:r w:rsidR="00280888">
        <w:rPr>
          <w:rFonts w:hint="cs"/>
          <w:rtl/>
        </w:rPr>
        <w:t>(</w:t>
      </w:r>
      <w:proofErr w:type="spellStart"/>
      <w:r w:rsidRPr="00140EB0">
        <w:rPr>
          <w:rFonts w:hint="cs"/>
          <w:rtl/>
        </w:rPr>
        <w:t>חו"מ</w:t>
      </w:r>
      <w:proofErr w:type="spellEnd"/>
      <w:r w:rsidRPr="00140EB0">
        <w:rPr>
          <w:rFonts w:hint="cs"/>
          <w:rtl/>
        </w:rPr>
        <w:t xml:space="preserve"> </w:t>
      </w:r>
      <w:proofErr w:type="spellStart"/>
      <w:r w:rsidRPr="00140EB0">
        <w:rPr>
          <w:rFonts w:hint="cs"/>
          <w:rtl/>
        </w:rPr>
        <w:t>רט,ח</w:t>
      </w:r>
      <w:proofErr w:type="spellEnd"/>
      <w:r w:rsidR="00280888">
        <w:rPr>
          <w:rFonts w:hint="cs"/>
          <w:rtl/>
        </w:rPr>
        <w:t>)</w:t>
      </w:r>
      <w:r w:rsidRPr="00140EB0">
        <w:rPr>
          <w:rFonts w:hint="cs"/>
          <w:rtl/>
        </w:rPr>
        <w:t xml:space="preserve">. </w:t>
      </w:r>
    </w:p>
  </w:footnote>
  <w:footnote w:id="20">
    <w:p w14:paraId="7CB678C7" w14:textId="3B935BB4" w:rsidR="00140EB0" w:rsidRPr="00140EB0" w:rsidRDefault="00140EB0" w:rsidP="00140EB0">
      <w:pPr>
        <w:pStyle w:val="-8"/>
        <w:rPr>
          <w:rtl/>
        </w:rPr>
      </w:pPr>
      <w:r w:rsidRPr="00140EB0">
        <w:rPr>
          <w:rStyle w:val="ac"/>
          <w:vertAlign w:val="baseline"/>
          <w:rtl/>
        </w:rPr>
        <w:footnoteRef/>
      </w:r>
      <w:r>
        <w:rPr>
          <w:rStyle w:val="ac"/>
          <w:vertAlign w:val="baseline"/>
          <w:rtl/>
        </w:rPr>
        <w:t>.</w:t>
      </w:r>
      <w:r>
        <w:rPr>
          <w:rStyle w:val="ac"/>
          <w:vertAlign w:val="baseline"/>
          <w:rtl/>
        </w:rPr>
        <w:tab/>
      </w:r>
      <w:r w:rsidR="00280888">
        <w:rPr>
          <w:rFonts w:hint="cs"/>
          <w:rtl/>
        </w:rPr>
        <w:t xml:space="preserve">ראו </w:t>
      </w:r>
      <w:proofErr w:type="spellStart"/>
      <w:r w:rsidRPr="00140EB0">
        <w:rPr>
          <w:rFonts w:hint="cs"/>
          <w:rtl/>
        </w:rPr>
        <w:t>רא</w:t>
      </w:r>
      <w:proofErr w:type="spellEnd"/>
      <w:r w:rsidRPr="00140EB0">
        <w:rPr>
          <w:rFonts w:hint="cs"/>
          <w:rtl/>
        </w:rPr>
        <w:t xml:space="preserve">''ה ומאירי </w:t>
      </w:r>
      <w:r w:rsidR="00280888">
        <w:rPr>
          <w:rFonts w:hint="cs"/>
          <w:rtl/>
        </w:rPr>
        <w:t>(</w:t>
      </w:r>
      <w:r w:rsidRPr="00140EB0">
        <w:rPr>
          <w:rFonts w:hint="cs"/>
          <w:rtl/>
        </w:rPr>
        <w:t xml:space="preserve">כתובות </w:t>
      </w:r>
      <w:proofErr w:type="spellStart"/>
      <w:r w:rsidRPr="00140EB0">
        <w:rPr>
          <w:rFonts w:hint="cs"/>
          <w:rtl/>
        </w:rPr>
        <w:t>פג</w:t>
      </w:r>
      <w:r w:rsidR="00280888">
        <w:rPr>
          <w:rFonts w:hint="cs"/>
          <w:rtl/>
        </w:rPr>
        <w:t>,</w:t>
      </w:r>
      <w:r w:rsidRPr="00140EB0">
        <w:rPr>
          <w:rFonts w:hint="cs"/>
          <w:rtl/>
        </w:rPr>
        <w:t>א</w:t>
      </w:r>
      <w:proofErr w:type="spellEnd"/>
      <w:r w:rsidR="00280888">
        <w:rPr>
          <w:rFonts w:hint="cs"/>
          <w:rtl/>
        </w:rPr>
        <w:t>)</w:t>
      </w:r>
      <w:r w:rsidRPr="00140EB0">
        <w:rPr>
          <w:rFonts w:hint="cs"/>
          <w:rtl/>
        </w:rPr>
        <w:t xml:space="preserve">. לפרטי הדין ראו אבני מילואים </w:t>
      </w:r>
      <w:r w:rsidR="00280888">
        <w:rPr>
          <w:rFonts w:hint="cs"/>
          <w:rtl/>
        </w:rPr>
        <w:t>(</w:t>
      </w:r>
      <w:proofErr w:type="spellStart"/>
      <w:r w:rsidRPr="00140EB0">
        <w:rPr>
          <w:rFonts w:hint="cs"/>
          <w:rtl/>
        </w:rPr>
        <w:t>אה''ע</w:t>
      </w:r>
      <w:proofErr w:type="spellEnd"/>
      <w:r w:rsidRPr="00140EB0">
        <w:rPr>
          <w:rFonts w:hint="cs"/>
          <w:rtl/>
        </w:rPr>
        <w:t xml:space="preserve"> </w:t>
      </w:r>
      <w:r w:rsidR="00280888">
        <w:rPr>
          <w:rFonts w:hint="cs"/>
          <w:rtl/>
        </w:rPr>
        <w:t xml:space="preserve">סי' </w:t>
      </w:r>
      <w:r w:rsidRPr="00140EB0">
        <w:rPr>
          <w:rFonts w:hint="cs"/>
          <w:rtl/>
        </w:rPr>
        <w:t>צב</w:t>
      </w:r>
      <w:r w:rsidR="00280888">
        <w:rPr>
          <w:rFonts w:hint="cs"/>
          <w:rtl/>
        </w:rPr>
        <w:t xml:space="preserve"> </w:t>
      </w:r>
      <w:proofErr w:type="spellStart"/>
      <w:r w:rsidR="00280888">
        <w:rPr>
          <w:rFonts w:hint="cs"/>
          <w:rtl/>
        </w:rPr>
        <w:t>ס"ק</w:t>
      </w:r>
      <w:proofErr w:type="spellEnd"/>
      <w:r w:rsidRPr="00140EB0">
        <w:rPr>
          <w:rFonts w:hint="cs"/>
          <w:rtl/>
        </w:rPr>
        <w:t xml:space="preserve"> י</w:t>
      </w:r>
      <w:r w:rsidR="00280888">
        <w:rPr>
          <w:rFonts w:hint="cs"/>
          <w:rtl/>
        </w:rPr>
        <w:t>)</w:t>
      </w:r>
      <w:r w:rsidRPr="00140EB0">
        <w:rPr>
          <w:rFonts w:hint="cs"/>
          <w:rtl/>
        </w:rPr>
        <w:t>.</w:t>
      </w:r>
    </w:p>
  </w:footnote>
  <w:footnote w:id="21">
    <w:p w14:paraId="23D1C8F6" w14:textId="0043C018" w:rsidR="00140EB0" w:rsidRPr="00140EB0" w:rsidRDefault="00140EB0" w:rsidP="00140EB0">
      <w:pPr>
        <w:pStyle w:val="-8"/>
        <w:rPr>
          <w:rtl/>
        </w:rPr>
      </w:pPr>
      <w:r w:rsidRPr="00140EB0">
        <w:rPr>
          <w:rStyle w:val="ac"/>
          <w:vertAlign w:val="baseline"/>
          <w:rtl/>
        </w:rPr>
        <w:footnoteRef/>
      </w:r>
      <w:r>
        <w:rPr>
          <w:rStyle w:val="ac"/>
          <w:vertAlign w:val="baseline"/>
          <w:rtl/>
        </w:rPr>
        <w:t>.</w:t>
      </w:r>
      <w:r>
        <w:rPr>
          <w:rStyle w:val="ac"/>
          <w:vertAlign w:val="baseline"/>
          <w:rtl/>
        </w:rPr>
        <w:tab/>
      </w:r>
      <w:r w:rsidRPr="00140EB0">
        <w:rPr>
          <w:rFonts w:hint="cs"/>
          <w:rtl/>
        </w:rPr>
        <w:t xml:space="preserve">אמנם הרב </w:t>
      </w:r>
      <w:proofErr w:type="spellStart"/>
      <w:r w:rsidRPr="00140EB0">
        <w:rPr>
          <w:rFonts w:hint="cs"/>
          <w:rtl/>
        </w:rPr>
        <w:t>דיכובסקי</w:t>
      </w:r>
      <w:proofErr w:type="spellEnd"/>
      <w:r w:rsidRPr="00140EB0">
        <w:rPr>
          <w:rFonts w:hint="cs"/>
          <w:rtl/>
        </w:rPr>
        <w:t xml:space="preserve"> כתב כך בתקופה שבה נהגה בבתי המשפט 'הלכת השיתוף', עוד טרם התיקון האמור בחוק אשר קבע כי הנישואין אינם מפקיעים את זכויות הצדדים בנכסיהם, וכי חלוקת הרכוש מתבצעת רק עם פירוק הנישואין. אולם ייתכן כי סברתו תהיה תקפה גם להסכמה לוויתור מכללא של האיש על זכותו ברווחי מלוג של אשתו בעת הנישואין בהתאם להוראות החוק, על אף החיובים היתרים המוטלים עליו. </w:t>
      </w:r>
    </w:p>
  </w:footnote>
  <w:footnote w:id="22">
    <w:p w14:paraId="136D5FCB" w14:textId="7B0935D6" w:rsidR="00140EB0" w:rsidRPr="00140EB0" w:rsidRDefault="00140EB0" w:rsidP="00140EB0">
      <w:pPr>
        <w:pStyle w:val="-8"/>
        <w:rPr>
          <w:rtl/>
        </w:rPr>
      </w:pPr>
      <w:r w:rsidRPr="00140EB0">
        <w:rPr>
          <w:rStyle w:val="ac"/>
          <w:vertAlign w:val="baseline"/>
          <w:rtl/>
        </w:rPr>
        <w:footnoteRef/>
      </w:r>
      <w:r>
        <w:rPr>
          <w:rStyle w:val="ac"/>
          <w:vertAlign w:val="baseline"/>
          <w:rtl/>
        </w:rPr>
        <w:t>.</w:t>
      </w:r>
      <w:r>
        <w:rPr>
          <w:rStyle w:val="ac"/>
          <w:vertAlign w:val="baseline"/>
          <w:rtl/>
        </w:rPr>
        <w:tab/>
      </w:r>
      <w:proofErr w:type="spellStart"/>
      <w:r w:rsidRPr="00140EB0">
        <w:rPr>
          <w:rtl/>
        </w:rPr>
        <w:t>הר</w:t>
      </w:r>
      <w:r w:rsidR="00CC5B89">
        <w:rPr>
          <w:rFonts w:hint="cs"/>
          <w:rtl/>
        </w:rPr>
        <w:t>"י</w:t>
      </w:r>
      <w:proofErr w:type="spellEnd"/>
      <w:r w:rsidRPr="00140EB0">
        <w:rPr>
          <w:rtl/>
        </w:rPr>
        <w:t xml:space="preserve"> אריאל</w:t>
      </w:r>
      <w:r w:rsidRPr="00140EB0">
        <w:rPr>
          <w:rFonts w:hint="cs"/>
          <w:rtl/>
        </w:rPr>
        <w:t xml:space="preserve"> </w:t>
      </w:r>
      <w:r w:rsidR="00CC5B89">
        <w:rPr>
          <w:rFonts w:hint="cs"/>
          <w:rtl/>
        </w:rPr>
        <w:t xml:space="preserve">במאמרו הנ"ל </w:t>
      </w:r>
      <w:r w:rsidRPr="00140EB0">
        <w:rPr>
          <w:rtl/>
        </w:rPr>
        <w:t xml:space="preserve">דן בשאלה האם </w:t>
      </w:r>
      <w:r w:rsidR="00CC5B89">
        <w:rPr>
          <w:rFonts w:hint="cs"/>
          <w:rtl/>
        </w:rPr>
        <w:t xml:space="preserve">תשלום דמי </w:t>
      </w:r>
      <w:r w:rsidRPr="00140EB0">
        <w:rPr>
          <w:rtl/>
        </w:rPr>
        <w:t>הביטוח הרפואי הנהוג בימינו, הינו בכלל ריפוי שיש לו קצבה, כי הוא תשלום קצוב מדי חודש בחודשו</w:t>
      </w:r>
      <w:r w:rsidR="00CC5B89">
        <w:rPr>
          <w:rFonts w:hint="cs"/>
          <w:rtl/>
        </w:rPr>
        <w:t>,</w:t>
      </w:r>
      <w:r w:rsidRPr="00140EB0">
        <w:rPr>
          <w:rtl/>
        </w:rPr>
        <w:t xml:space="preserve"> ו</w:t>
      </w:r>
      <w:r w:rsidRPr="00140EB0">
        <w:rPr>
          <w:rFonts w:hint="cs"/>
          <w:rtl/>
        </w:rPr>
        <w:t xml:space="preserve">לכן </w:t>
      </w:r>
      <w:r w:rsidRPr="00140EB0">
        <w:rPr>
          <w:rtl/>
        </w:rPr>
        <w:t>הבעל חייב בתשלומו, או שמא הוא נחשב לרפואה שאין לה קצבה, משום שאין הוא תשלום חד פעמי בדומה לתשלום על פדיון שבויים, אלא תשלום מתחדש מדי חודש בחודשו</w:t>
      </w:r>
      <w:r w:rsidR="00CC5B89">
        <w:rPr>
          <w:rFonts w:hint="cs"/>
          <w:rtl/>
        </w:rPr>
        <w:t>,</w:t>
      </w:r>
      <w:r w:rsidRPr="00140EB0">
        <w:rPr>
          <w:rtl/>
        </w:rPr>
        <w:t xml:space="preserve"> והבעל פטור ממנו.</w:t>
      </w:r>
      <w:r w:rsidRPr="00140EB0">
        <w:rPr>
          <w:rFonts w:hint="cs"/>
          <w:rtl/>
        </w:rPr>
        <w:t xml:space="preserve"> </w:t>
      </w:r>
      <w:r w:rsidRPr="00140EB0">
        <w:rPr>
          <w:rtl/>
        </w:rPr>
        <w:t xml:space="preserve">לדבריו, מצד אחד יש מקום לומר שהביטוח נועד לכסות הוצאות רפואיות חד פעמיות, ומכאן שמדובר ברפואה שיש לה קצבה. מאידך, מדובר בתשלום שאינו חד פעמי </w:t>
      </w:r>
      <w:r w:rsidR="00CC5B89">
        <w:rPr>
          <w:rFonts w:hint="cs"/>
          <w:rtl/>
        </w:rPr>
        <w:t>ו</w:t>
      </w:r>
      <w:r w:rsidRPr="00140EB0">
        <w:rPr>
          <w:rtl/>
        </w:rPr>
        <w:t xml:space="preserve">ללא תלות במחלה מסוימת, ולכן </w:t>
      </w:r>
      <w:r w:rsidRPr="00140EB0">
        <w:rPr>
          <w:rFonts w:hint="cs"/>
          <w:rtl/>
        </w:rPr>
        <w:t>י</w:t>
      </w:r>
      <w:r w:rsidRPr="00140EB0">
        <w:rPr>
          <w:rtl/>
        </w:rPr>
        <w:t xml:space="preserve">יתכן שדינו כרפואה שאין לה קצבה. עמדתו היא שכיוון שאם לא ישולם ביטוח מדי חודש, הבעל יחויב לשלם על טיפולים רפואיים חד פעמיים במקרה שהאישה תחלה (שהם בוודאי בגדר ריפוי שיש לו קצבה), הרי שהוא מחויב לבטח את אשתו בביטוח רפואי, גם אם היא מוותרת על כך. </w:t>
      </w:r>
    </w:p>
    <w:p w14:paraId="520BBFC8" w14:textId="7F3173E0" w:rsidR="00140EB0" w:rsidRPr="00140EB0" w:rsidRDefault="00140EB0" w:rsidP="00CC5B89">
      <w:pPr>
        <w:pStyle w:val="-8"/>
        <w:rPr>
          <w:rtl/>
        </w:rPr>
      </w:pPr>
      <w:r>
        <w:rPr>
          <w:rFonts w:ascii="David" w:hAnsi="David"/>
          <w:rtl/>
        </w:rPr>
        <w:tab/>
      </w:r>
      <w:r w:rsidRPr="00140EB0">
        <w:rPr>
          <w:rFonts w:ascii="David" w:hAnsi="David" w:hint="eastAsia"/>
          <w:rtl/>
        </w:rPr>
        <w:t>לעומתו</w:t>
      </w:r>
      <w:r w:rsidRPr="00140EB0">
        <w:rPr>
          <w:rFonts w:ascii="David" w:hAnsi="David"/>
          <w:rtl/>
        </w:rPr>
        <w:t xml:space="preserve"> </w:t>
      </w:r>
      <w:r w:rsidR="00CC5B89">
        <w:rPr>
          <w:rFonts w:ascii="David" w:hAnsi="David" w:hint="cs"/>
          <w:rtl/>
        </w:rPr>
        <w:t>במש</w:t>
      </w:r>
      <w:r w:rsidR="00EC0B2C">
        <w:rPr>
          <w:rFonts w:ascii="David" w:hAnsi="David" w:hint="cs"/>
          <w:rtl/>
        </w:rPr>
        <w:t>פ</w:t>
      </w:r>
      <w:r w:rsidR="00CC5B89">
        <w:rPr>
          <w:rFonts w:ascii="David" w:hAnsi="David" w:hint="cs"/>
          <w:rtl/>
        </w:rPr>
        <w:t xml:space="preserve">ט-הכתובה (ח"ד עמ' </w:t>
      </w:r>
      <w:proofErr w:type="spellStart"/>
      <w:r w:rsidR="00CC5B89">
        <w:rPr>
          <w:rFonts w:ascii="David" w:hAnsi="David" w:hint="cs"/>
          <w:rtl/>
        </w:rPr>
        <w:t>רפ</w:t>
      </w:r>
      <w:proofErr w:type="spellEnd"/>
      <w:r w:rsidR="00CC5B89">
        <w:rPr>
          <w:rFonts w:ascii="David" w:hAnsi="David" w:hint="cs"/>
          <w:rtl/>
        </w:rPr>
        <w:t xml:space="preserve">) </w:t>
      </w:r>
      <w:r w:rsidRPr="00140EB0">
        <w:rPr>
          <w:rFonts w:ascii="David" w:hAnsi="David" w:hint="eastAsia"/>
          <w:rtl/>
        </w:rPr>
        <w:t>נכתב</w:t>
      </w:r>
      <w:r w:rsidRPr="00140EB0">
        <w:rPr>
          <w:rFonts w:ascii="David" w:hAnsi="David"/>
          <w:rtl/>
        </w:rPr>
        <w:t xml:space="preserve"> </w:t>
      </w:r>
      <w:r w:rsidRPr="00140EB0">
        <w:rPr>
          <w:rFonts w:ascii="David" w:hAnsi="David" w:hint="eastAsia"/>
          <w:rtl/>
        </w:rPr>
        <w:t>בשם</w:t>
      </w:r>
      <w:r w:rsidRPr="00140EB0">
        <w:rPr>
          <w:rFonts w:ascii="David" w:hAnsi="David"/>
          <w:rtl/>
        </w:rPr>
        <w:t xml:space="preserve"> </w:t>
      </w:r>
      <w:proofErr w:type="spellStart"/>
      <w:r w:rsidRPr="00140EB0">
        <w:rPr>
          <w:rFonts w:ascii="David" w:hAnsi="David" w:hint="eastAsia"/>
          <w:rtl/>
        </w:rPr>
        <w:t>הר</w:t>
      </w:r>
      <w:r w:rsidR="00CC5B89">
        <w:rPr>
          <w:rFonts w:ascii="David" w:hAnsi="David" w:hint="cs"/>
          <w:rtl/>
        </w:rPr>
        <w:t>"נ</w:t>
      </w:r>
      <w:proofErr w:type="spellEnd"/>
      <w:r w:rsidRPr="00140EB0">
        <w:rPr>
          <w:rFonts w:ascii="David" w:hAnsi="David"/>
          <w:rtl/>
        </w:rPr>
        <w:t xml:space="preserve"> </w:t>
      </w:r>
      <w:proofErr w:type="spellStart"/>
      <w:r w:rsidRPr="00140EB0">
        <w:rPr>
          <w:rFonts w:ascii="David" w:hAnsi="David" w:hint="eastAsia"/>
          <w:rtl/>
        </w:rPr>
        <w:t>קרליץ</w:t>
      </w:r>
      <w:proofErr w:type="spellEnd"/>
      <w:r w:rsidR="00CC5B89">
        <w:rPr>
          <w:rFonts w:ascii="David" w:hAnsi="David" w:hint="cs"/>
          <w:rtl/>
        </w:rPr>
        <w:t>,</w:t>
      </w:r>
      <w:r w:rsidRPr="00140EB0">
        <w:rPr>
          <w:rFonts w:ascii="David" w:hAnsi="David"/>
          <w:rtl/>
        </w:rPr>
        <w:t xml:space="preserve"> </w:t>
      </w:r>
      <w:r w:rsidRPr="00140EB0">
        <w:rPr>
          <w:rFonts w:ascii="David" w:hAnsi="David" w:hint="eastAsia"/>
          <w:rtl/>
        </w:rPr>
        <w:t>שהבעל</w:t>
      </w:r>
      <w:r w:rsidRPr="00140EB0">
        <w:rPr>
          <w:rFonts w:ascii="David" w:hAnsi="David"/>
          <w:rtl/>
        </w:rPr>
        <w:t xml:space="preserve"> </w:t>
      </w:r>
      <w:r w:rsidRPr="00140EB0">
        <w:rPr>
          <w:rFonts w:ascii="David" w:hAnsi="David" w:hint="eastAsia"/>
          <w:rtl/>
        </w:rPr>
        <w:t>אינו</w:t>
      </w:r>
      <w:r w:rsidRPr="00140EB0">
        <w:rPr>
          <w:rFonts w:ascii="David" w:hAnsi="David"/>
          <w:rtl/>
        </w:rPr>
        <w:t xml:space="preserve"> </w:t>
      </w:r>
      <w:r w:rsidRPr="00140EB0">
        <w:rPr>
          <w:rFonts w:ascii="David" w:hAnsi="David" w:hint="eastAsia"/>
          <w:rtl/>
        </w:rPr>
        <w:t>חייב</w:t>
      </w:r>
      <w:r w:rsidRPr="00140EB0">
        <w:rPr>
          <w:rFonts w:ascii="David" w:hAnsi="David"/>
          <w:rtl/>
        </w:rPr>
        <w:t xml:space="preserve"> </w:t>
      </w:r>
      <w:r w:rsidRPr="00140EB0">
        <w:rPr>
          <w:rFonts w:ascii="David" w:hAnsi="David" w:hint="eastAsia"/>
          <w:rtl/>
        </w:rPr>
        <w:t>לשלם</w:t>
      </w:r>
      <w:r w:rsidRPr="00140EB0">
        <w:rPr>
          <w:rFonts w:ascii="David" w:hAnsi="David"/>
          <w:rtl/>
        </w:rPr>
        <w:t xml:space="preserve"> </w:t>
      </w:r>
      <w:r w:rsidRPr="00140EB0">
        <w:rPr>
          <w:rFonts w:ascii="David" w:hAnsi="David" w:hint="eastAsia"/>
          <w:rtl/>
        </w:rPr>
        <w:t>עבור</w:t>
      </w:r>
      <w:r w:rsidRPr="00140EB0">
        <w:rPr>
          <w:rFonts w:ascii="David" w:hAnsi="David"/>
          <w:rtl/>
        </w:rPr>
        <w:t xml:space="preserve"> </w:t>
      </w:r>
      <w:r w:rsidRPr="00140EB0">
        <w:rPr>
          <w:rFonts w:ascii="David" w:hAnsi="David" w:hint="eastAsia"/>
          <w:rtl/>
        </w:rPr>
        <w:t>אשתו</w:t>
      </w:r>
      <w:r w:rsidRPr="00140EB0">
        <w:rPr>
          <w:rFonts w:ascii="David" w:hAnsi="David"/>
          <w:rtl/>
        </w:rPr>
        <w:t xml:space="preserve"> </w:t>
      </w:r>
      <w:r w:rsidRPr="00140EB0">
        <w:rPr>
          <w:rFonts w:ascii="David" w:hAnsi="David" w:hint="eastAsia"/>
          <w:rtl/>
        </w:rPr>
        <w:t>ביטוח</w:t>
      </w:r>
      <w:r w:rsidRPr="00140EB0">
        <w:rPr>
          <w:rFonts w:ascii="David" w:hAnsi="David"/>
          <w:rtl/>
        </w:rPr>
        <w:t xml:space="preserve"> </w:t>
      </w:r>
      <w:r w:rsidRPr="00140EB0">
        <w:rPr>
          <w:rFonts w:ascii="David" w:hAnsi="David" w:hint="eastAsia"/>
          <w:rtl/>
        </w:rPr>
        <w:t>רפואי</w:t>
      </w:r>
      <w:r w:rsidRPr="00140EB0">
        <w:rPr>
          <w:rFonts w:ascii="David" w:hAnsi="David"/>
          <w:rtl/>
        </w:rPr>
        <w:t xml:space="preserve"> </w:t>
      </w:r>
      <w:r w:rsidRPr="00140EB0">
        <w:rPr>
          <w:rFonts w:ascii="David" w:hAnsi="David" w:hint="eastAsia"/>
          <w:rtl/>
        </w:rPr>
        <w:t>מראש</w:t>
      </w:r>
      <w:r w:rsidRPr="00140EB0">
        <w:rPr>
          <w:rFonts w:ascii="David" w:hAnsi="David"/>
          <w:rtl/>
        </w:rPr>
        <w:t xml:space="preserve"> </w:t>
      </w:r>
      <w:r w:rsidRPr="00140EB0">
        <w:rPr>
          <w:rFonts w:ascii="David" w:hAnsi="David" w:hint="eastAsia"/>
          <w:rtl/>
        </w:rPr>
        <w:t>כלל</w:t>
      </w:r>
      <w:r w:rsidRPr="00140EB0">
        <w:rPr>
          <w:rFonts w:ascii="David" w:hAnsi="David"/>
          <w:rtl/>
        </w:rPr>
        <w:t xml:space="preserve">, </w:t>
      </w:r>
      <w:r w:rsidRPr="00140EB0">
        <w:rPr>
          <w:rFonts w:ascii="David" w:hAnsi="David" w:hint="eastAsia"/>
          <w:rtl/>
        </w:rPr>
        <w:t>כיו</w:t>
      </w:r>
      <w:r w:rsidRPr="00140EB0">
        <w:rPr>
          <w:rFonts w:ascii="David" w:hAnsi="David" w:hint="cs"/>
          <w:rtl/>
        </w:rPr>
        <w:t>ו</w:t>
      </w:r>
      <w:r w:rsidRPr="00140EB0">
        <w:rPr>
          <w:rFonts w:ascii="David" w:hAnsi="David" w:hint="eastAsia"/>
          <w:rtl/>
        </w:rPr>
        <w:t>ן</w:t>
      </w:r>
      <w:r w:rsidRPr="00140EB0">
        <w:rPr>
          <w:rFonts w:ascii="David" w:hAnsi="David"/>
          <w:rtl/>
        </w:rPr>
        <w:t xml:space="preserve"> </w:t>
      </w:r>
      <w:r w:rsidRPr="00140EB0">
        <w:rPr>
          <w:rFonts w:ascii="David" w:hAnsi="David" w:hint="eastAsia"/>
          <w:rtl/>
        </w:rPr>
        <w:t>שתשלום</w:t>
      </w:r>
      <w:r w:rsidRPr="00140EB0">
        <w:rPr>
          <w:rFonts w:ascii="David" w:hAnsi="David"/>
          <w:rtl/>
        </w:rPr>
        <w:t xml:space="preserve"> </w:t>
      </w:r>
      <w:r w:rsidRPr="00140EB0">
        <w:rPr>
          <w:rFonts w:ascii="David" w:hAnsi="David" w:hint="eastAsia"/>
          <w:rtl/>
        </w:rPr>
        <w:t>זה</w:t>
      </w:r>
      <w:r w:rsidRPr="00140EB0">
        <w:rPr>
          <w:rFonts w:ascii="David" w:hAnsi="David"/>
          <w:rtl/>
        </w:rPr>
        <w:t xml:space="preserve"> </w:t>
      </w:r>
      <w:r w:rsidRPr="00140EB0">
        <w:rPr>
          <w:rFonts w:ascii="David" w:hAnsi="David" w:hint="eastAsia"/>
          <w:rtl/>
        </w:rPr>
        <w:t>הוא</w:t>
      </w:r>
      <w:r w:rsidRPr="00140EB0">
        <w:rPr>
          <w:rFonts w:ascii="David" w:hAnsi="David"/>
          <w:rtl/>
        </w:rPr>
        <w:t xml:space="preserve"> </w:t>
      </w:r>
      <w:r w:rsidRPr="00140EB0">
        <w:rPr>
          <w:rFonts w:ascii="David" w:hAnsi="David" w:hint="eastAsia"/>
          <w:rtl/>
        </w:rPr>
        <w:t>כעין</w:t>
      </w:r>
      <w:r w:rsidRPr="00140EB0">
        <w:rPr>
          <w:rFonts w:ascii="David" w:hAnsi="David"/>
          <w:rtl/>
        </w:rPr>
        <w:t xml:space="preserve"> </w:t>
      </w:r>
      <w:r w:rsidRPr="00140EB0">
        <w:rPr>
          <w:rFonts w:ascii="David" w:hAnsi="David" w:hint="eastAsia"/>
          <w:rtl/>
        </w:rPr>
        <w:t>רפואה</w:t>
      </w:r>
      <w:r w:rsidRPr="00140EB0">
        <w:rPr>
          <w:rFonts w:ascii="David" w:hAnsi="David"/>
          <w:rtl/>
        </w:rPr>
        <w:t xml:space="preserve"> </w:t>
      </w:r>
      <w:r w:rsidRPr="00140EB0">
        <w:rPr>
          <w:rFonts w:ascii="David" w:hAnsi="David" w:hint="eastAsia"/>
          <w:rtl/>
        </w:rPr>
        <w:t>שאין</w:t>
      </w:r>
      <w:r w:rsidRPr="00140EB0">
        <w:rPr>
          <w:rFonts w:ascii="David" w:hAnsi="David"/>
          <w:rtl/>
        </w:rPr>
        <w:t xml:space="preserve"> </w:t>
      </w:r>
      <w:r w:rsidRPr="00140EB0">
        <w:rPr>
          <w:rFonts w:ascii="David" w:hAnsi="David" w:hint="eastAsia"/>
          <w:rtl/>
        </w:rPr>
        <w:t>לה</w:t>
      </w:r>
      <w:r w:rsidRPr="00140EB0">
        <w:rPr>
          <w:rFonts w:ascii="David" w:hAnsi="David"/>
          <w:rtl/>
        </w:rPr>
        <w:t xml:space="preserve"> </w:t>
      </w:r>
      <w:r w:rsidRPr="00140EB0">
        <w:rPr>
          <w:rFonts w:ascii="David" w:hAnsi="David" w:hint="eastAsia"/>
          <w:rtl/>
        </w:rPr>
        <w:t>קצבה</w:t>
      </w:r>
      <w:r w:rsidRPr="00140EB0">
        <w:rPr>
          <w:rFonts w:ascii="David" w:hAnsi="David"/>
          <w:rtl/>
        </w:rPr>
        <w:t xml:space="preserve">, </w:t>
      </w:r>
      <w:r w:rsidRPr="00140EB0">
        <w:rPr>
          <w:rFonts w:ascii="David" w:hAnsi="David" w:hint="eastAsia"/>
          <w:rtl/>
        </w:rPr>
        <w:t>שאינו</w:t>
      </w:r>
      <w:r w:rsidRPr="00140EB0">
        <w:rPr>
          <w:rFonts w:ascii="David" w:hAnsi="David"/>
          <w:rtl/>
        </w:rPr>
        <w:t xml:space="preserve"> </w:t>
      </w:r>
      <w:r w:rsidRPr="00140EB0">
        <w:rPr>
          <w:rFonts w:ascii="David" w:hAnsi="David" w:hint="eastAsia"/>
          <w:rtl/>
        </w:rPr>
        <w:t>מוגבל</w:t>
      </w:r>
      <w:r w:rsidRPr="00140EB0">
        <w:rPr>
          <w:rFonts w:ascii="David" w:hAnsi="David"/>
          <w:rtl/>
        </w:rPr>
        <w:t xml:space="preserve"> </w:t>
      </w:r>
      <w:r w:rsidRPr="00140EB0">
        <w:rPr>
          <w:rFonts w:ascii="David" w:hAnsi="David" w:hint="eastAsia"/>
          <w:rtl/>
        </w:rPr>
        <w:t>בזמן</w:t>
      </w:r>
      <w:r w:rsidR="00CC5B89">
        <w:rPr>
          <w:rFonts w:ascii="David" w:hAnsi="David" w:hint="cs"/>
          <w:rtl/>
        </w:rPr>
        <w:t>. בעניין זה ראו גם פ</w:t>
      </w:r>
      <w:r w:rsidRPr="00140EB0">
        <w:rPr>
          <w:rFonts w:ascii="David" w:hAnsi="David" w:hint="eastAsia"/>
          <w:rtl/>
        </w:rPr>
        <w:t>תחי</w:t>
      </w:r>
      <w:r w:rsidR="00CC5B89">
        <w:rPr>
          <w:rFonts w:ascii="David" w:hAnsi="David" w:hint="cs"/>
          <w:rtl/>
        </w:rPr>
        <w:t>-</w:t>
      </w:r>
      <w:r w:rsidRPr="00140EB0">
        <w:rPr>
          <w:rFonts w:ascii="David" w:hAnsi="David" w:hint="eastAsia"/>
          <w:rtl/>
        </w:rPr>
        <w:t>חושן</w:t>
      </w:r>
      <w:r w:rsidR="00CC5B89">
        <w:rPr>
          <w:rFonts w:ascii="David" w:hAnsi="David" w:hint="cs"/>
          <w:rtl/>
        </w:rPr>
        <w:t xml:space="preserve"> (ירושה </w:t>
      </w:r>
      <w:r w:rsidRPr="00140EB0">
        <w:rPr>
          <w:rFonts w:ascii="David" w:hAnsi="David" w:hint="eastAsia"/>
          <w:rtl/>
        </w:rPr>
        <w:t>ואישות</w:t>
      </w:r>
      <w:r w:rsidRPr="00140EB0">
        <w:rPr>
          <w:rFonts w:ascii="David" w:hAnsi="David"/>
          <w:rtl/>
        </w:rPr>
        <w:t xml:space="preserve"> </w:t>
      </w:r>
      <w:r w:rsidRPr="00140EB0">
        <w:rPr>
          <w:rFonts w:ascii="David" w:hAnsi="David" w:hint="eastAsia"/>
          <w:rtl/>
        </w:rPr>
        <w:t>פ</w:t>
      </w:r>
      <w:r w:rsidRPr="00140EB0">
        <w:rPr>
          <w:rFonts w:ascii="David" w:hAnsi="David"/>
          <w:rtl/>
        </w:rPr>
        <w:t>"</w:t>
      </w:r>
      <w:r w:rsidRPr="00140EB0">
        <w:rPr>
          <w:rFonts w:ascii="David" w:hAnsi="David" w:hint="eastAsia"/>
          <w:rtl/>
        </w:rPr>
        <w:t>ט</w:t>
      </w:r>
      <w:r w:rsidRPr="00140EB0">
        <w:rPr>
          <w:rFonts w:ascii="David" w:hAnsi="David"/>
          <w:rtl/>
        </w:rPr>
        <w:t xml:space="preserve"> </w:t>
      </w:r>
      <w:r w:rsidRPr="00140EB0">
        <w:rPr>
          <w:rFonts w:ascii="David" w:hAnsi="David" w:hint="eastAsia"/>
          <w:rtl/>
        </w:rPr>
        <w:t>סעיף</w:t>
      </w:r>
      <w:r w:rsidRPr="00140EB0">
        <w:rPr>
          <w:rFonts w:ascii="David" w:hAnsi="David"/>
          <w:rtl/>
        </w:rPr>
        <w:t xml:space="preserve"> </w:t>
      </w:r>
      <w:r w:rsidRPr="00140EB0">
        <w:rPr>
          <w:rFonts w:ascii="David" w:hAnsi="David" w:hint="eastAsia"/>
          <w:rtl/>
        </w:rPr>
        <w:t>סב</w:t>
      </w:r>
      <w:r w:rsidRPr="00140EB0">
        <w:rPr>
          <w:rFonts w:ascii="David" w:hAnsi="David"/>
          <w:rtl/>
        </w:rPr>
        <w:t>).</w:t>
      </w:r>
    </w:p>
  </w:footnote>
  <w:footnote w:id="23">
    <w:p w14:paraId="27C94588" w14:textId="0C9CDD4F" w:rsidR="00140EB0" w:rsidRPr="00140EB0" w:rsidRDefault="00140EB0" w:rsidP="00140EB0">
      <w:pPr>
        <w:pStyle w:val="-8"/>
        <w:rPr>
          <w:rtl/>
        </w:rPr>
      </w:pPr>
      <w:r w:rsidRPr="00140EB0">
        <w:rPr>
          <w:rStyle w:val="ac"/>
          <w:vertAlign w:val="baseline"/>
          <w:rtl/>
        </w:rPr>
        <w:footnoteRef/>
      </w:r>
      <w:r>
        <w:rPr>
          <w:rStyle w:val="ac"/>
          <w:vertAlign w:val="baseline"/>
          <w:rtl/>
        </w:rPr>
        <w:t>.</w:t>
      </w:r>
      <w:r>
        <w:rPr>
          <w:rStyle w:val="ac"/>
          <w:vertAlign w:val="baseline"/>
          <w:rtl/>
        </w:rPr>
        <w:tab/>
      </w:r>
      <w:r w:rsidRPr="00140EB0">
        <w:rPr>
          <w:rFonts w:hint="cs"/>
          <w:rtl/>
        </w:rPr>
        <w:t>על פי ה</w:t>
      </w:r>
      <w:r w:rsidR="001122F0">
        <w:rPr>
          <w:rFonts w:hint="cs"/>
          <w:rtl/>
        </w:rPr>
        <w:t>מלצת</w:t>
      </w:r>
      <w:r w:rsidRPr="00140EB0">
        <w:rPr>
          <w:rFonts w:hint="cs"/>
          <w:rtl/>
        </w:rPr>
        <w:t xml:space="preserve"> </w:t>
      </w:r>
      <w:proofErr w:type="spellStart"/>
      <w:r w:rsidR="00CC5B89">
        <w:rPr>
          <w:rFonts w:hint="cs"/>
          <w:rtl/>
        </w:rPr>
        <w:t>הר"י</w:t>
      </w:r>
      <w:proofErr w:type="spellEnd"/>
      <w:r w:rsidR="00CC5B89">
        <w:rPr>
          <w:rFonts w:hint="cs"/>
          <w:rtl/>
        </w:rPr>
        <w:t xml:space="preserve"> אריאל</w:t>
      </w:r>
      <w:r w:rsidRPr="00140EB0">
        <w:rPr>
          <w:rFonts w:hint="cs"/>
          <w:rtl/>
        </w:rPr>
        <w:t xml:space="preserve"> בדקנו עם אחד מדייני בית הדין הרבני האם יש תקדימים בעניין זה. תשובתו של הדיין הייתה שלילית, כיוון שבפועל לא מוגש</w:t>
      </w:r>
      <w:r w:rsidR="001122F0">
        <w:rPr>
          <w:rFonts w:hint="cs"/>
          <w:rtl/>
        </w:rPr>
        <w:t>ו</w:t>
      </w:r>
      <w:r w:rsidRPr="00140EB0">
        <w:rPr>
          <w:rFonts w:hint="cs"/>
          <w:rtl/>
        </w:rPr>
        <w:t xml:space="preserve">ת תביעות בבית הדין הרבני בהן הבעל מבקש לקבל דמי שכירות של דירה הרשומה על שם אשתו. </w:t>
      </w:r>
      <w:r w:rsidR="00F16E19">
        <w:rPr>
          <w:rFonts w:hint="cs"/>
          <w:rtl/>
        </w:rPr>
        <w:t>אמנם לדעתו יש לקבל</w:t>
      </w:r>
      <w:r w:rsidRPr="00140EB0">
        <w:rPr>
          <w:rFonts w:hint="cs"/>
          <w:rtl/>
        </w:rPr>
        <w:t xml:space="preserve"> את הסברה הרשומה למעלה</w:t>
      </w:r>
      <w:r w:rsidR="00F16E19">
        <w:rPr>
          <w:rFonts w:hint="cs"/>
          <w:rtl/>
        </w:rPr>
        <w:t>.</w:t>
      </w:r>
    </w:p>
  </w:footnote>
  <w:footnote w:id="24">
    <w:p w14:paraId="22C16920" w14:textId="57ED3724" w:rsidR="00D169DE" w:rsidRDefault="00D169DE" w:rsidP="00D169DE">
      <w:pPr>
        <w:pStyle w:val="-8"/>
        <w:rPr>
          <w:rtl/>
        </w:rPr>
      </w:pPr>
      <w:r w:rsidRPr="00D169DE">
        <w:rPr>
          <w:rtl/>
        </w:rPr>
        <w:footnoteRef/>
      </w:r>
      <w:r>
        <w:rPr>
          <w:rFonts w:hint="cs"/>
          <w:rtl/>
        </w:rPr>
        <w:t>.</w:t>
      </w:r>
      <w:r>
        <w:rPr>
          <w:rtl/>
        </w:rPr>
        <w:tab/>
      </w:r>
      <w:r w:rsidRPr="00140EB0">
        <w:rPr>
          <w:rFonts w:hint="cs"/>
          <w:rtl/>
        </w:rPr>
        <w:t>'מי בעל הבית', אמונת</w:t>
      </w:r>
      <w:r>
        <w:rPr>
          <w:rFonts w:hint="cs"/>
          <w:rtl/>
        </w:rPr>
        <w:t>-</w:t>
      </w:r>
      <w:proofErr w:type="spellStart"/>
      <w:r w:rsidRPr="00140EB0">
        <w:rPr>
          <w:rFonts w:hint="cs"/>
          <w:rtl/>
        </w:rPr>
        <w:t>עתיך</w:t>
      </w:r>
      <w:proofErr w:type="spellEnd"/>
      <w:r w:rsidRPr="00140EB0">
        <w:rPr>
          <w:rFonts w:hint="cs"/>
          <w:rtl/>
        </w:rPr>
        <w:t xml:space="preserve"> 100 עמ' 130-127</w:t>
      </w:r>
      <w:r w:rsidR="003660C1">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667703" w14:textId="77777777" w:rsidR="00937BB3" w:rsidRPr="004456F4" w:rsidRDefault="00937BB3" w:rsidP="004456F4">
    <w:pPr>
      <w:pStyle w:val="ad"/>
      <w:framePr w:w="421" w:wrap="around" w:vAnchor="text" w:hAnchor="page" w:x="9091" w:y="9"/>
      <w:jc w:val="left"/>
      <w:rPr>
        <w:rStyle w:val="af"/>
        <w:rFonts w:ascii="David" w:hAnsi="David"/>
      </w:rPr>
    </w:pPr>
    <w:r w:rsidRPr="004456F4">
      <w:rPr>
        <w:rStyle w:val="af"/>
        <w:rFonts w:ascii="David" w:hAnsi="David"/>
      </w:rPr>
      <w:fldChar w:fldCharType="begin"/>
    </w:r>
    <w:r w:rsidRPr="004456F4">
      <w:rPr>
        <w:rStyle w:val="af"/>
        <w:rFonts w:ascii="David" w:hAnsi="David"/>
      </w:rPr>
      <w:instrText xml:space="preserve">PAGE  </w:instrText>
    </w:r>
    <w:r w:rsidRPr="004456F4">
      <w:rPr>
        <w:rStyle w:val="af"/>
        <w:rFonts w:ascii="David" w:hAnsi="David"/>
      </w:rPr>
      <w:fldChar w:fldCharType="separate"/>
    </w:r>
    <w:r w:rsidR="00440880" w:rsidRPr="004456F4">
      <w:rPr>
        <w:rStyle w:val="af"/>
        <w:rFonts w:ascii="David" w:hAnsi="David"/>
        <w:noProof/>
        <w:rtl/>
      </w:rPr>
      <w:t>8</w:t>
    </w:r>
    <w:r w:rsidRPr="004456F4">
      <w:rPr>
        <w:rStyle w:val="af"/>
        <w:rFonts w:ascii="David" w:hAnsi="David"/>
      </w:rPr>
      <w:fldChar w:fldCharType="end"/>
    </w:r>
  </w:p>
  <w:p w14:paraId="1DF0895B" w14:textId="297D4A83" w:rsidR="00937BB3" w:rsidRPr="00B53C99" w:rsidRDefault="00937BB3">
    <w:pPr>
      <w:pStyle w:val="ad"/>
      <w:ind w:right="360" w:firstLine="360"/>
      <w:rPr>
        <w:rtl/>
      </w:rPr>
    </w:pPr>
    <w:r w:rsidRPr="00B53C99">
      <w:rPr>
        <w:rtl/>
      </w:rPr>
      <w:fldChar w:fldCharType="begin"/>
    </w:r>
    <w:r w:rsidRPr="00B53C99">
      <w:rPr>
        <w:rtl/>
      </w:rPr>
      <w:instrText xml:space="preserve"> </w:instrText>
    </w:r>
    <w:r w:rsidRPr="00B53C99">
      <w:instrText>STYLEREF</w:instrText>
    </w:r>
    <w:r w:rsidRPr="00B53C99">
      <w:rPr>
        <w:rtl/>
      </w:rPr>
      <w:instrText xml:space="preserve">  "כותרת 1"  \* </w:instrText>
    </w:r>
    <w:r w:rsidRPr="00B53C99">
      <w:instrText>MERGEFORMAT</w:instrText>
    </w:r>
    <w:r w:rsidRPr="00B53C99">
      <w:rPr>
        <w:rtl/>
      </w:rPr>
      <w:instrText xml:space="preserve"> </w:instrText>
    </w:r>
    <w:r w:rsidRPr="00B53C99">
      <w:rPr>
        <w:rtl/>
      </w:rPr>
      <w:fldChar w:fldCharType="separate"/>
    </w:r>
    <w:r w:rsidR="00794178">
      <w:rPr>
        <w:noProof/>
        <w:rtl/>
      </w:rPr>
      <w:t>הרבנית ד"ר שפרה מישלוב</w:t>
    </w:r>
    <w:r w:rsidRPr="00B53C99">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D5D8AA" w14:textId="77777777" w:rsidR="00937BB3" w:rsidRPr="004456F4" w:rsidRDefault="00937BB3" w:rsidP="004456F4">
    <w:pPr>
      <w:pStyle w:val="ad"/>
      <w:framePr w:w="346" w:wrap="around" w:vAnchor="text" w:hAnchor="margin" w:xAlign="inside" w:y="9"/>
      <w:jc w:val="right"/>
      <w:rPr>
        <w:rStyle w:val="af"/>
        <w:rFonts w:ascii="David" w:hAnsi="David"/>
      </w:rPr>
    </w:pPr>
    <w:r w:rsidRPr="004456F4">
      <w:rPr>
        <w:rStyle w:val="af"/>
        <w:rFonts w:ascii="David" w:hAnsi="David"/>
      </w:rPr>
      <w:fldChar w:fldCharType="begin"/>
    </w:r>
    <w:r w:rsidRPr="004456F4">
      <w:rPr>
        <w:rStyle w:val="af"/>
        <w:rFonts w:ascii="David" w:hAnsi="David"/>
      </w:rPr>
      <w:instrText xml:space="preserve">PAGE  </w:instrText>
    </w:r>
    <w:r w:rsidRPr="004456F4">
      <w:rPr>
        <w:rStyle w:val="af"/>
        <w:rFonts w:ascii="David" w:hAnsi="David"/>
      </w:rPr>
      <w:fldChar w:fldCharType="separate"/>
    </w:r>
    <w:r w:rsidR="00440880" w:rsidRPr="004456F4">
      <w:rPr>
        <w:rStyle w:val="af"/>
        <w:rFonts w:ascii="David" w:hAnsi="David"/>
        <w:noProof/>
        <w:rtl/>
      </w:rPr>
      <w:t>9</w:t>
    </w:r>
    <w:r w:rsidRPr="004456F4">
      <w:rPr>
        <w:rStyle w:val="af"/>
        <w:rFonts w:ascii="David" w:hAnsi="David"/>
      </w:rPr>
      <w:fldChar w:fldCharType="end"/>
    </w:r>
  </w:p>
  <w:p w14:paraId="45E5C71A" w14:textId="0C19D117" w:rsidR="00937BB3" w:rsidRPr="00990163" w:rsidRDefault="00937BB3">
    <w:pPr>
      <w:pStyle w:val="ad"/>
      <w:ind w:right="360" w:firstLine="360"/>
      <w:rPr>
        <w:rtl/>
      </w:rPr>
    </w:pPr>
    <w:r w:rsidRPr="00990163">
      <w:rPr>
        <w:rtl/>
      </w:rPr>
      <w:fldChar w:fldCharType="begin"/>
    </w:r>
    <w:r w:rsidRPr="00142D7C">
      <w:rPr>
        <w:rtl/>
      </w:rPr>
      <w:instrText xml:space="preserve"> </w:instrText>
    </w:r>
    <w:r w:rsidRPr="00142D7C">
      <w:instrText>STYLEREF</w:instrText>
    </w:r>
    <w:r w:rsidRPr="00142D7C">
      <w:rPr>
        <w:rtl/>
      </w:rPr>
      <w:instrText xml:space="preserve">  "כותרת 2"  \* </w:instrText>
    </w:r>
    <w:r w:rsidRPr="00142D7C">
      <w:instrText>MERGEFORMAT</w:instrText>
    </w:r>
    <w:r w:rsidRPr="00142D7C">
      <w:rPr>
        <w:rtl/>
      </w:rPr>
      <w:instrText xml:space="preserve"> </w:instrText>
    </w:r>
    <w:r w:rsidRPr="00990163">
      <w:rPr>
        <w:rtl/>
      </w:rPr>
      <w:fldChar w:fldCharType="separate"/>
    </w:r>
    <w:r w:rsidR="00794178">
      <w:rPr>
        <w:noProof/>
        <w:rtl/>
      </w:rPr>
      <w:t>הבעלות על דירת בן זוג נשוי במסגרת התדיינות בפני בית דין לממונות</w:t>
    </w:r>
    <w:r w:rsidRPr="00990163">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5310CB" w14:textId="77777777" w:rsidR="00937BB3" w:rsidRDefault="00937BB3" w:rsidP="00E5367F">
    <w:pPr>
      <w:pStyle w:val="ad"/>
    </w:pPr>
    <w:proofErr w:type="spellStart"/>
    <w:r>
      <w:rPr>
        <w:rFonts w:hint="cs"/>
        <w:rtl/>
      </w:rPr>
      <w:t>תחומין</w:t>
    </w:r>
    <w:proofErr w:type="spellEnd"/>
    <w:r>
      <w:rPr>
        <w:rFonts w:hint="cs"/>
        <w:rtl/>
      </w:rPr>
      <w:t xml:space="preserve"> </w:t>
    </w:r>
    <w:r w:rsidR="00047DDC">
      <w:rPr>
        <w:rFonts w:hint="cs"/>
        <w:rtl/>
      </w:rPr>
      <w:t>מ</w:t>
    </w:r>
    <w:r w:rsidR="007A1EF2">
      <w:rPr>
        <w:rFonts w:hint="cs"/>
        <w:rtl/>
      </w:rPr>
      <w:t>ד</w:t>
    </w:r>
    <w:r>
      <w:rPr>
        <w:rFonts w:hint="cs"/>
        <w:rtl/>
      </w:rPr>
      <w:t xml:space="preserve"> (תש</w:t>
    </w:r>
    <w:r w:rsidR="00047DDC">
      <w:rPr>
        <w:rFonts w:hint="cs"/>
        <w:rtl/>
      </w:rPr>
      <w:t>פ</w:t>
    </w:r>
    <w:r w:rsidR="006B2B62">
      <w:rPr>
        <w:rFonts w:hint="cs"/>
        <w:rtl/>
      </w:rPr>
      <w:t>"</w:t>
    </w:r>
    <w:r w:rsidR="007A1EF2">
      <w:rPr>
        <w:rFonts w:hint="cs"/>
        <w:rtl/>
      </w:rPr>
      <w:t>ד</w:t>
    </w:r>
    <w:r w:rsidR="004456F4">
      <w:rPr>
        <w:rFonts w:hint="cs"/>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31514"/>
    <w:multiLevelType w:val="hybridMultilevel"/>
    <w:tmpl w:val="32020428"/>
    <w:lvl w:ilvl="0" w:tplc="D36C90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C24EB1"/>
    <w:multiLevelType w:val="hybridMultilevel"/>
    <w:tmpl w:val="94D650E0"/>
    <w:lvl w:ilvl="0" w:tplc="234A1824">
      <w:start w:val="1"/>
      <w:numFmt w:val="decimal"/>
      <w:lvlText w:val="%1."/>
      <w:lvlJc w:val="left"/>
      <w:pPr>
        <w:ind w:left="1494" w:hanging="360"/>
      </w:pPr>
      <w:rPr>
        <w:rFonts w:asciiTheme="minorHAnsi" w:eastAsiaTheme="minorHAnsi" w:hAnsiTheme="minorHAnsi" w:cs="David"/>
        <w:sz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04DB7F54"/>
    <w:multiLevelType w:val="hybridMultilevel"/>
    <w:tmpl w:val="6A70E576"/>
    <w:lvl w:ilvl="0" w:tplc="84D2FDF2">
      <w:start w:val="1"/>
      <w:numFmt w:val="hebrew1"/>
      <w:lvlText w:val="%1."/>
      <w:lvlJc w:val="center"/>
      <w:pPr>
        <w:ind w:left="720" w:hanging="360"/>
      </w:pPr>
      <w:rPr>
        <w:rFonts w:cs="Times New Roman" w:hint="default"/>
        <w:b/>
        <w:bCs/>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C293ABC"/>
    <w:multiLevelType w:val="hybridMultilevel"/>
    <w:tmpl w:val="6A70E576"/>
    <w:lvl w:ilvl="0" w:tplc="84D2FDF2">
      <w:start w:val="1"/>
      <w:numFmt w:val="hebrew1"/>
      <w:lvlText w:val="%1."/>
      <w:lvlJc w:val="center"/>
      <w:pPr>
        <w:ind w:left="720" w:hanging="360"/>
      </w:pPr>
      <w:rPr>
        <w:rFonts w:cs="Times New Roman" w:hint="default"/>
        <w:b/>
        <w:bCs/>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8D54835"/>
    <w:multiLevelType w:val="hybridMultilevel"/>
    <w:tmpl w:val="FE546364"/>
    <w:lvl w:ilvl="0" w:tplc="549A03E0">
      <w:start w:val="1"/>
      <w:numFmt w:val="hebrew1"/>
      <w:lvlText w:val="%1."/>
      <w:lvlJc w:val="left"/>
      <w:pPr>
        <w:ind w:left="1068" w:hanging="360"/>
      </w:pPr>
      <w:rPr>
        <w:rFonts w:ascii="David" w:eastAsiaTheme="minorHAnsi" w:hAnsi="David" w:cs="David"/>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19C84488"/>
    <w:multiLevelType w:val="hybridMultilevel"/>
    <w:tmpl w:val="E4DE9E06"/>
    <w:lvl w:ilvl="0" w:tplc="FE0EE420">
      <w:start w:val="1"/>
      <w:numFmt w:val="decimal"/>
      <w:lvlText w:val="%1."/>
      <w:lvlJc w:val="left"/>
      <w:pPr>
        <w:ind w:left="360" w:hanging="360"/>
      </w:pPr>
      <w:rPr>
        <w:rFonts w:ascii="David" w:eastAsiaTheme="minorHAnsi" w:hAnsi="David" w:cs="Davi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1810A2"/>
    <w:multiLevelType w:val="hybridMultilevel"/>
    <w:tmpl w:val="69A69140"/>
    <w:lvl w:ilvl="0" w:tplc="68B8C7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4B784A"/>
    <w:multiLevelType w:val="hybridMultilevel"/>
    <w:tmpl w:val="080C116E"/>
    <w:lvl w:ilvl="0" w:tplc="CF68569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6C6ADE"/>
    <w:multiLevelType w:val="hybridMultilevel"/>
    <w:tmpl w:val="6D943718"/>
    <w:lvl w:ilvl="0" w:tplc="04090013">
      <w:start w:val="1"/>
      <w:numFmt w:val="hebrew1"/>
      <w:lvlText w:val="%1."/>
      <w:lvlJc w:val="center"/>
      <w:pPr>
        <w:ind w:left="720" w:hanging="360"/>
      </w:pPr>
      <w:rPr>
        <w:rFonts w:cs="Times New Roman"/>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5753B34"/>
    <w:multiLevelType w:val="hybridMultilevel"/>
    <w:tmpl w:val="8DD6C14E"/>
    <w:lvl w:ilvl="0" w:tplc="9BD2326A">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467033"/>
    <w:multiLevelType w:val="hybridMultilevel"/>
    <w:tmpl w:val="26307D76"/>
    <w:lvl w:ilvl="0" w:tplc="68B8C7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1D6EA1"/>
    <w:multiLevelType w:val="hybridMultilevel"/>
    <w:tmpl w:val="C33673F2"/>
    <w:lvl w:ilvl="0" w:tplc="DF7A0D8A">
      <w:start w:val="5"/>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B40B4F"/>
    <w:multiLevelType w:val="hybridMultilevel"/>
    <w:tmpl w:val="F9A0FAF4"/>
    <w:lvl w:ilvl="0" w:tplc="04090013">
      <w:start w:val="1"/>
      <w:numFmt w:val="hebrew1"/>
      <w:lvlText w:val="%1."/>
      <w:lvlJc w:val="center"/>
      <w:pPr>
        <w:ind w:left="720" w:hanging="360"/>
      </w:pPr>
      <w:rPr>
        <w:rFonts w:cs="Times New Roman"/>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BCE3468"/>
    <w:multiLevelType w:val="hybridMultilevel"/>
    <w:tmpl w:val="9E32581E"/>
    <w:lvl w:ilvl="0" w:tplc="E7D2FFC6">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EE3F70"/>
    <w:multiLevelType w:val="hybridMultilevel"/>
    <w:tmpl w:val="7EFE62AC"/>
    <w:lvl w:ilvl="0" w:tplc="FD8699A6">
      <w:start w:val="1"/>
      <w:numFmt w:val="hebrew1"/>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0573AB"/>
    <w:multiLevelType w:val="hybridMultilevel"/>
    <w:tmpl w:val="6840F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B67F1"/>
    <w:multiLevelType w:val="hybridMultilevel"/>
    <w:tmpl w:val="6D943718"/>
    <w:lvl w:ilvl="0" w:tplc="04090013">
      <w:start w:val="1"/>
      <w:numFmt w:val="hebrew1"/>
      <w:lvlText w:val="%1."/>
      <w:lvlJc w:val="center"/>
      <w:pPr>
        <w:ind w:left="720" w:hanging="360"/>
      </w:pPr>
      <w:rPr>
        <w:rFonts w:cs="Times New Roman"/>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5DD2F7E"/>
    <w:multiLevelType w:val="hybridMultilevel"/>
    <w:tmpl w:val="874034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8AE1AD0"/>
    <w:multiLevelType w:val="hybridMultilevel"/>
    <w:tmpl w:val="8CE48BE0"/>
    <w:lvl w:ilvl="0" w:tplc="04090013">
      <w:start w:val="1"/>
      <w:numFmt w:val="hebrew1"/>
      <w:lvlText w:val="%1."/>
      <w:lvlJc w:val="center"/>
      <w:pPr>
        <w:ind w:left="720" w:hanging="360"/>
      </w:pPr>
      <w:rPr>
        <w:rFonts w:cs="Times New Roman"/>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0386E62"/>
    <w:multiLevelType w:val="multilevel"/>
    <w:tmpl w:val="02E6B08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409964AF"/>
    <w:multiLevelType w:val="hybridMultilevel"/>
    <w:tmpl w:val="6D943718"/>
    <w:lvl w:ilvl="0" w:tplc="04090013">
      <w:start w:val="1"/>
      <w:numFmt w:val="hebrew1"/>
      <w:lvlText w:val="%1."/>
      <w:lvlJc w:val="center"/>
      <w:pPr>
        <w:ind w:left="720" w:hanging="360"/>
      </w:pPr>
      <w:rPr>
        <w:rFonts w:cs="Times New Roman"/>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225364A"/>
    <w:multiLevelType w:val="hybridMultilevel"/>
    <w:tmpl w:val="6D943718"/>
    <w:lvl w:ilvl="0" w:tplc="04090013">
      <w:start w:val="1"/>
      <w:numFmt w:val="hebrew1"/>
      <w:lvlText w:val="%1."/>
      <w:lvlJc w:val="center"/>
      <w:pPr>
        <w:ind w:left="720" w:hanging="360"/>
      </w:pPr>
      <w:rPr>
        <w:rFonts w:cs="Times New Roman"/>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3765683"/>
    <w:multiLevelType w:val="hybridMultilevel"/>
    <w:tmpl w:val="4FD8715E"/>
    <w:lvl w:ilvl="0" w:tplc="04090013">
      <w:start w:val="1"/>
      <w:numFmt w:val="hebrew1"/>
      <w:lvlText w:val="%1."/>
      <w:lvlJc w:val="center"/>
      <w:pPr>
        <w:ind w:left="720" w:hanging="360"/>
      </w:pPr>
      <w:rPr>
        <w:rFonts w:cs="Times New Roman"/>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F67765B"/>
    <w:multiLevelType w:val="multilevel"/>
    <w:tmpl w:val="0B8E9F8E"/>
    <w:lvl w:ilvl="0">
      <w:start w:val="1"/>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57BB6424"/>
    <w:multiLevelType w:val="hybridMultilevel"/>
    <w:tmpl w:val="EDD0C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D877B9"/>
    <w:multiLevelType w:val="hybridMultilevel"/>
    <w:tmpl w:val="F7B0AE5A"/>
    <w:lvl w:ilvl="0" w:tplc="4B50AA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DA96898"/>
    <w:multiLevelType w:val="hybridMultilevel"/>
    <w:tmpl w:val="993406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05F681F"/>
    <w:multiLevelType w:val="hybridMultilevel"/>
    <w:tmpl w:val="67D6F074"/>
    <w:lvl w:ilvl="0" w:tplc="04090013">
      <w:start w:val="1"/>
      <w:numFmt w:val="hebrew1"/>
      <w:lvlText w:val="%1."/>
      <w:lvlJc w:val="center"/>
      <w:pPr>
        <w:ind w:left="720" w:hanging="360"/>
      </w:pPr>
      <w:rPr>
        <w:rFonts w:cs="Times New Roman"/>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20E71BF"/>
    <w:multiLevelType w:val="hybridMultilevel"/>
    <w:tmpl w:val="DA9047C8"/>
    <w:lvl w:ilvl="0" w:tplc="65C46F4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1D4D34"/>
    <w:multiLevelType w:val="hybridMultilevel"/>
    <w:tmpl w:val="6D943718"/>
    <w:lvl w:ilvl="0" w:tplc="04090013">
      <w:start w:val="1"/>
      <w:numFmt w:val="hebrew1"/>
      <w:lvlText w:val="%1."/>
      <w:lvlJc w:val="center"/>
      <w:pPr>
        <w:ind w:left="720" w:hanging="360"/>
      </w:pPr>
      <w:rPr>
        <w:rFonts w:cs="Times New Roman"/>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4CE0503"/>
    <w:multiLevelType w:val="hybridMultilevel"/>
    <w:tmpl w:val="451A7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B72F58"/>
    <w:multiLevelType w:val="multilevel"/>
    <w:tmpl w:val="E66A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2511B7"/>
    <w:multiLevelType w:val="hybridMultilevel"/>
    <w:tmpl w:val="9D8453DA"/>
    <w:lvl w:ilvl="0" w:tplc="04090013">
      <w:start w:val="1"/>
      <w:numFmt w:val="hebrew1"/>
      <w:lvlText w:val="%1."/>
      <w:lvlJc w:val="center"/>
      <w:pPr>
        <w:ind w:left="720" w:hanging="360"/>
      </w:pPr>
      <w:rPr>
        <w:rFonts w:cs="Times New Roman"/>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FDB0209"/>
    <w:multiLevelType w:val="hybridMultilevel"/>
    <w:tmpl w:val="80F6F306"/>
    <w:lvl w:ilvl="0" w:tplc="04090013">
      <w:start w:val="1"/>
      <w:numFmt w:val="hebrew1"/>
      <w:lvlText w:val="%1."/>
      <w:lvlJc w:val="center"/>
      <w:pPr>
        <w:ind w:left="720" w:hanging="360"/>
      </w:pPr>
      <w:rPr>
        <w:rFonts w:cs="Times New Roman"/>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40829C6"/>
    <w:multiLevelType w:val="hybridMultilevel"/>
    <w:tmpl w:val="66788262"/>
    <w:lvl w:ilvl="0" w:tplc="91BC5866">
      <w:start w:val="1"/>
      <w:numFmt w:val="hebrew1"/>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77628B9"/>
    <w:multiLevelType w:val="hybridMultilevel"/>
    <w:tmpl w:val="90FC8130"/>
    <w:lvl w:ilvl="0" w:tplc="4CE68A2E">
      <w:start w:val="3"/>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DD3611"/>
    <w:multiLevelType w:val="hybridMultilevel"/>
    <w:tmpl w:val="C3784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594635">
    <w:abstractNumId w:val="20"/>
  </w:num>
  <w:num w:numId="2" w16cid:durableId="640118945">
    <w:abstractNumId w:val="3"/>
  </w:num>
  <w:num w:numId="3" w16cid:durableId="1219131309">
    <w:abstractNumId w:val="29"/>
  </w:num>
  <w:num w:numId="4" w16cid:durableId="964656449">
    <w:abstractNumId w:val="16"/>
  </w:num>
  <w:num w:numId="5" w16cid:durableId="2003309958">
    <w:abstractNumId w:val="21"/>
  </w:num>
  <w:num w:numId="6" w16cid:durableId="902835749">
    <w:abstractNumId w:val="8"/>
  </w:num>
  <w:num w:numId="7" w16cid:durableId="1357777557">
    <w:abstractNumId w:val="27"/>
  </w:num>
  <w:num w:numId="8" w16cid:durableId="413598890">
    <w:abstractNumId w:val="12"/>
  </w:num>
  <w:num w:numId="9" w16cid:durableId="341974549">
    <w:abstractNumId w:val="22"/>
  </w:num>
  <w:num w:numId="10" w16cid:durableId="438567120">
    <w:abstractNumId w:val="18"/>
  </w:num>
  <w:num w:numId="11" w16cid:durableId="2025932853">
    <w:abstractNumId w:val="33"/>
  </w:num>
  <w:num w:numId="12" w16cid:durableId="1715036747">
    <w:abstractNumId w:val="32"/>
  </w:num>
  <w:num w:numId="13" w16cid:durableId="1840461982">
    <w:abstractNumId w:val="2"/>
  </w:num>
  <w:num w:numId="14" w16cid:durableId="802312484">
    <w:abstractNumId w:val="26"/>
  </w:num>
  <w:num w:numId="15" w16cid:durableId="1646277826">
    <w:abstractNumId w:val="15"/>
  </w:num>
  <w:num w:numId="16" w16cid:durableId="1112702766">
    <w:abstractNumId w:val="31"/>
  </w:num>
  <w:num w:numId="17" w16cid:durableId="1466384752">
    <w:abstractNumId w:val="5"/>
  </w:num>
  <w:num w:numId="18" w16cid:durableId="956594926">
    <w:abstractNumId w:val="30"/>
  </w:num>
  <w:num w:numId="19" w16cid:durableId="1384989030">
    <w:abstractNumId w:val="35"/>
  </w:num>
  <w:num w:numId="20" w16cid:durableId="748622024">
    <w:abstractNumId w:val="11"/>
  </w:num>
  <w:num w:numId="21" w16cid:durableId="131404761">
    <w:abstractNumId w:val="28"/>
  </w:num>
  <w:num w:numId="22" w16cid:durableId="678124146">
    <w:abstractNumId w:val="24"/>
  </w:num>
  <w:num w:numId="23" w16cid:durableId="131871763">
    <w:abstractNumId w:val="13"/>
  </w:num>
  <w:num w:numId="24" w16cid:durableId="1823304247">
    <w:abstractNumId w:val="34"/>
  </w:num>
  <w:num w:numId="25" w16cid:durableId="93324943">
    <w:abstractNumId w:val="9"/>
  </w:num>
  <w:num w:numId="26" w16cid:durableId="1532186844">
    <w:abstractNumId w:val="14"/>
  </w:num>
  <w:num w:numId="27" w16cid:durableId="1309629820">
    <w:abstractNumId w:val="7"/>
  </w:num>
  <w:num w:numId="28" w16cid:durableId="920675127">
    <w:abstractNumId w:val="0"/>
  </w:num>
  <w:num w:numId="29" w16cid:durableId="84377541">
    <w:abstractNumId w:val="10"/>
  </w:num>
  <w:num w:numId="30" w16cid:durableId="249238489">
    <w:abstractNumId w:val="23"/>
  </w:num>
  <w:num w:numId="31" w16cid:durableId="399789955">
    <w:abstractNumId w:val="6"/>
  </w:num>
  <w:num w:numId="32" w16cid:durableId="658845777">
    <w:abstractNumId w:val="17"/>
  </w:num>
  <w:num w:numId="33" w16cid:durableId="1246110845">
    <w:abstractNumId w:val="1"/>
  </w:num>
  <w:num w:numId="34" w16cid:durableId="388461700">
    <w:abstractNumId w:val="4"/>
  </w:num>
  <w:num w:numId="35" w16cid:durableId="859120942">
    <w:abstractNumId w:val="36"/>
  </w:num>
  <w:num w:numId="36" w16cid:durableId="111944105">
    <w:abstractNumId w:val="19"/>
  </w:num>
  <w:num w:numId="37" w16cid:durableId="2005083580">
    <w:abstractNumId w:val="25"/>
  </w:num>
  <w:num w:numId="38" w16cid:durableId="1656839976">
    <w:abstractNumId w:val="2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227"/>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EB0"/>
    <w:rsid w:val="00017F47"/>
    <w:rsid w:val="00021C81"/>
    <w:rsid w:val="0004775D"/>
    <w:rsid w:val="00047DDC"/>
    <w:rsid w:val="0005262F"/>
    <w:rsid w:val="00062760"/>
    <w:rsid w:val="00074077"/>
    <w:rsid w:val="000E4B33"/>
    <w:rsid w:val="001122F0"/>
    <w:rsid w:val="00140EB0"/>
    <w:rsid w:val="00142D7C"/>
    <w:rsid w:val="0014454B"/>
    <w:rsid w:val="0015474C"/>
    <w:rsid w:val="0016180D"/>
    <w:rsid w:val="00164E53"/>
    <w:rsid w:val="001703B7"/>
    <w:rsid w:val="001760B1"/>
    <w:rsid w:val="001A3EA4"/>
    <w:rsid w:val="001B3610"/>
    <w:rsid w:val="001C0376"/>
    <w:rsid w:val="001D101E"/>
    <w:rsid w:val="0021744A"/>
    <w:rsid w:val="0022567B"/>
    <w:rsid w:val="00232B83"/>
    <w:rsid w:val="0023497B"/>
    <w:rsid w:val="00257C29"/>
    <w:rsid w:val="00266E9E"/>
    <w:rsid w:val="00277A2C"/>
    <w:rsid w:val="00280888"/>
    <w:rsid w:val="002C2378"/>
    <w:rsid w:val="002D06FA"/>
    <w:rsid w:val="002E0409"/>
    <w:rsid w:val="002E4063"/>
    <w:rsid w:val="002E5D2F"/>
    <w:rsid w:val="003025A3"/>
    <w:rsid w:val="0030665F"/>
    <w:rsid w:val="00326E86"/>
    <w:rsid w:val="00340F31"/>
    <w:rsid w:val="003545E3"/>
    <w:rsid w:val="003660C1"/>
    <w:rsid w:val="00374154"/>
    <w:rsid w:val="003810BD"/>
    <w:rsid w:val="003A4F0F"/>
    <w:rsid w:val="003A5925"/>
    <w:rsid w:val="003A6266"/>
    <w:rsid w:val="003C2C78"/>
    <w:rsid w:val="003C3241"/>
    <w:rsid w:val="003D3DCC"/>
    <w:rsid w:val="003D53AD"/>
    <w:rsid w:val="003E0722"/>
    <w:rsid w:val="0043015E"/>
    <w:rsid w:val="00437925"/>
    <w:rsid w:val="00440880"/>
    <w:rsid w:val="004456F4"/>
    <w:rsid w:val="0047716C"/>
    <w:rsid w:val="00481382"/>
    <w:rsid w:val="0048705A"/>
    <w:rsid w:val="004C1845"/>
    <w:rsid w:val="004E26B9"/>
    <w:rsid w:val="004E5124"/>
    <w:rsid w:val="004E7AA6"/>
    <w:rsid w:val="004F2035"/>
    <w:rsid w:val="004F44D0"/>
    <w:rsid w:val="004F74E0"/>
    <w:rsid w:val="005654F8"/>
    <w:rsid w:val="005840EC"/>
    <w:rsid w:val="005A1D13"/>
    <w:rsid w:val="005B2CE0"/>
    <w:rsid w:val="005B39CC"/>
    <w:rsid w:val="005C4CA6"/>
    <w:rsid w:val="005E0848"/>
    <w:rsid w:val="005E4083"/>
    <w:rsid w:val="005E6E6F"/>
    <w:rsid w:val="00602025"/>
    <w:rsid w:val="0061487E"/>
    <w:rsid w:val="00632DC4"/>
    <w:rsid w:val="006521D5"/>
    <w:rsid w:val="006550BD"/>
    <w:rsid w:val="006721E0"/>
    <w:rsid w:val="00690781"/>
    <w:rsid w:val="006961E0"/>
    <w:rsid w:val="006B2B62"/>
    <w:rsid w:val="006C0C95"/>
    <w:rsid w:val="006C6C76"/>
    <w:rsid w:val="006D50C0"/>
    <w:rsid w:val="006D565A"/>
    <w:rsid w:val="006F1FF4"/>
    <w:rsid w:val="00702BF1"/>
    <w:rsid w:val="0071117E"/>
    <w:rsid w:val="00787398"/>
    <w:rsid w:val="00791E50"/>
    <w:rsid w:val="00794178"/>
    <w:rsid w:val="007A0A34"/>
    <w:rsid w:val="007A1EF2"/>
    <w:rsid w:val="007A4CC0"/>
    <w:rsid w:val="007B7EC5"/>
    <w:rsid w:val="007D0F1A"/>
    <w:rsid w:val="007D5F97"/>
    <w:rsid w:val="007E166C"/>
    <w:rsid w:val="007F2DC4"/>
    <w:rsid w:val="00800037"/>
    <w:rsid w:val="00800247"/>
    <w:rsid w:val="00833EE2"/>
    <w:rsid w:val="00855F77"/>
    <w:rsid w:val="00890B75"/>
    <w:rsid w:val="00891424"/>
    <w:rsid w:val="00894741"/>
    <w:rsid w:val="0089574D"/>
    <w:rsid w:val="008959E4"/>
    <w:rsid w:val="008A5BB2"/>
    <w:rsid w:val="008C0FFE"/>
    <w:rsid w:val="008C6FC1"/>
    <w:rsid w:val="008C75C4"/>
    <w:rsid w:val="008E1A5E"/>
    <w:rsid w:val="008F254F"/>
    <w:rsid w:val="00906281"/>
    <w:rsid w:val="009217AD"/>
    <w:rsid w:val="00937BB3"/>
    <w:rsid w:val="00946D94"/>
    <w:rsid w:val="00961857"/>
    <w:rsid w:val="00990163"/>
    <w:rsid w:val="009A6752"/>
    <w:rsid w:val="009C4C57"/>
    <w:rsid w:val="009F60D0"/>
    <w:rsid w:val="00A00645"/>
    <w:rsid w:val="00A02B20"/>
    <w:rsid w:val="00A16CE3"/>
    <w:rsid w:val="00A1775A"/>
    <w:rsid w:val="00A227F6"/>
    <w:rsid w:val="00A30E7B"/>
    <w:rsid w:val="00A37748"/>
    <w:rsid w:val="00A618A4"/>
    <w:rsid w:val="00A75D34"/>
    <w:rsid w:val="00A85456"/>
    <w:rsid w:val="00A96B72"/>
    <w:rsid w:val="00AB52F3"/>
    <w:rsid w:val="00AD2A35"/>
    <w:rsid w:val="00B032C6"/>
    <w:rsid w:val="00B13284"/>
    <w:rsid w:val="00B311A8"/>
    <w:rsid w:val="00B42AB4"/>
    <w:rsid w:val="00B46E3C"/>
    <w:rsid w:val="00B53C99"/>
    <w:rsid w:val="00B57342"/>
    <w:rsid w:val="00BA0199"/>
    <w:rsid w:val="00BB45C4"/>
    <w:rsid w:val="00BC3389"/>
    <w:rsid w:val="00BD1644"/>
    <w:rsid w:val="00C0232B"/>
    <w:rsid w:val="00C204BD"/>
    <w:rsid w:val="00C4332D"/>
    <w:rsid w:val="00C46868"/>
    <w:rsid w:val="00C93C4E"/>
    <w:rsid w:val="00CA272C"/>
    <w:rsid w:val="00CB2F77"/>
    <w:rsid w:val="00CC5B89"/>
    <w:rsid w:val="00CF7C68"/>
    <w:rsid w:val="00D010C9"/>
    <w:rsid w:val="00D041EE"/>
    <w:rsid w:val="00D144AA"/>
    <w:rsid w:val="00D169DE"/>
    <w:rsid w:val="00D30E2A"/>
    <w:rsid w:val="00D4729F"/>
    <w:rsid w:val="00D817E5"/>
    <w:rsid w:val="00DC3885"/>
    <w:rsid w:val="00DE015C"/>
    <w:rsid w:val="00DE0964"/>
    <w:rsid w:val="00DF4E6C"/>
    <w:rsid w:val="00E13DF9"/>
    <w:rsid w:val="00E25BFC"/>
    <w:rsid w:val="00E5367F"/>
    <w:rsid w:val="00E57AF3"/>
    <w:rsid w:val="00E647C1"/>
    <w:rsid w:val="00E655E5"/>
    <w:rsid w:val="00E66C63"/>
    <w:rsid w:val="00E72D58"/>
    <w:rsid w:val="00E76D1D"/>
    <w:rsid w:val="00E82FA4"/>
    <w:rsid w:val="00EA223D"/>
    <w:rsid w:val="00EA2FE3"/>
    <w:rsid w:val="00EB0DC8"/>
    <w:rsid w:val="00EC0B2C"/>
    <w:rsid w:val="00ED27B2"/>
    <w:rsid w:val="00EF4E7C"/>
    <w:rsid w:val="00F12A4C"/>
    <w:rsid w:val="00F1478F"/>
    <w:rsid w:val="00F15EA5"/>
    <w:rsid w:val="00F16E19"/>
    <w:rsid w:val="00F17F48"/>
    <w:rsid w:val="00F43BC6"/>
    <w:rsid w:val="00F5259A"/>
    <w:rsid w:val="00F577E0"/>
    <w:rsid w:val="00F86BA3"/>
    <w:rsid w:val="00F86D85"/>
    <w:rsid w:val="00F95A42"/>
    <w:rsid w:val="00F97341"/>
    <w:rsid w:val="00FA350B"/>
    <w:rsid w:val="00FB7170"/>
    <w:rsid w:val="00FC7354"/>
    <w:rsid w:val="00FD763D"/>
    <w:rsid w:val="00FF4E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B7CBD"/>
  <w15:docId w15:val="{AE8402A1-E2D7-426D-8681-12438524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David"/>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F254F"/>
    <w:pPr>
      <w:tabs>
        <w:tab w:val="left" w:pos="284"/>
      </w:tabs>
      <w:bidi/>
      <w:spacing w:after="80" w:line="240" w:lineRule="exact"/>
      <w:ind w:firstLine="284"/>
      <w:jc w:val="both"/>
    </w:pPr>
    <w:rPr>
      <w:szCs w:val="23"/>
    </w:rPr>
  </w:style>
  <w:style w:type="paragraph" w:styleId="1">
    <w:name w:val="heading 1"/>
    <w:aliases w:val="1מחבר"/>
    <w:basedOn w:val="a"/>
    <w:next w:val="2"/>
    <w:link w:val="10"/>
    <w:uiPriority w:val="9"/>
    <w:qFormat/>
    <w:rsid w:val="00CA272C"/>
    <w:pPr>
      <w:keepNext/>
      <w:pageBreakBefore/>
      <w:spacing w:after="397"/>
      <w:ind w:firstLine="0"/>
      <w:jc w:val="left"/>
      <w:outlineLvl w:val="0"/>
    </w:pPr>
    <w:rPr>
      <w:spacing w:val="22"/>
      <w:szCs w:val="24"/>
    </w:rPr>
  </w:style>
  <w:style w:type="paragraph" w:styleId="2">
    <w:name w:val="heading 2"/>
    <w:aliases w:val="2מאמר"/>
    <w:basedOn w:val="a"/>
    <w:next w:val="a"/>
    <w:link w:val="20"/>
    <w:uiPriority w:val="9"/>
    <w:qFormat/>
    <w:rsid w:val="00CA272C"/>
    <w:pPr>
      <w:keepNext/>
      <w:spacing w:after="397"/>
      <w:ind w:firstLine="0"/>
      <w:jc w:val="center"/>
      <w:outlineLvl w:val="1"/>
    </w:pPr>
    <w:rPr>
      <w:b/>
      <w:bCs/>
      <w:sz w:val="26"/>
      <w:szCs w:val="28"/>
    </w:rPr>
  </w:style>
  <w:style w:type="paragraph" w:styleId="3">
    <w:name w:val="heading 3"/>
    <w:aliases w:val="הערות"/>
    <w:basedOn w:val="a"/>
    <w:next w:val="a"/>
    <w:link w:val="30"/>
    <w:uiPriority w:val="9"/>
    <w:unhideWhenUsed/>
    <w:qFormat/>
    <w:rsid w:val="003E0722"/>
    <w:pPr>
      <w:keepNext/>
      <w:spacing w:before="120"/>
      <w:ind w:firstLine="0"/>
      <w:jc w:val="center"/>
      <w:outlineLvl w:val="2"/>
    </w:pPr>
    <w:rPr>
      <w:b/>
      <w:bCs/>
      <w:sz w:val="24"/>
      <w:szCs w:val="26"/>
    </w:rPr>
  </w:style>
  <w:style w:type="paragraph" w:styleId="4">
    <w:name w:val="heading 4"/>
    <w:aliases w:val="4פרק"/>
    <w:basedOn w:val="a"/>
    <w:next w:val="a"/>
    <w:link w:val="40"/>
    <w:uiPriority w:val="9"/>
    <w:qFormat/>
    <w:rsid w:val="00CA272C"/>
    <w:pPr>
      <w:keepNext/>
      <w:tabs>
        <w:tab w:val="clear" w:pos="284"/>
        <w:tab w:val="left" w:pos="227"/>
      </w:tabs>
      <w:spacing w:before="120"/>
      <w:ind w:firstLine="0"/>
      <w:jc w:val="center"/>
      <w:outlineLvl w:val="3"/>
    </w:pPr>
    <w:rPr>
      <w:b/>
      <w:bCs/>
      <w:szCs w:val="24"/>
    </w:rPr>
  </w:style>
  <w:style w:type="paragraph" w:styleId="5">
    <w:name w:val="heading 5"/>
    <w:aliases w:val="5תת"/>
    <w:basedOn w:val="a"/>
    <w:next w:val="a"/>
    <w:qFormat/>
    <w:rsid w:val="00CA272C"/>
    <w:pPr>
      <w:keepNext/>
      <w:tabs>
        <w:tab w:val="clear" w:pos="284"/>
        <w:tab w:val="left" w:pos="227"/>
      </w:tabs>
      <w:spacing w:before="80"/>
      <w:ind w:firstLine="0"/>
      <w:jc w:val="left"/>
      <w:outlineLvl w:val="4"/>
    </w:pPr>
    <w:rPr>
      <w:sz w:val="16"/>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nhideWhenUsed/>
    <w:rsid w:val="003E0722"/>
    <w:pPr>
      <w:framePr w:w="5040" w:h="1980" w:hRule="exact" w:hSpace="180" w:wrap="auto" w:vAnchor="page" w:hAnchor="page" w:x="1441" w:y="2161"/>
      <w:ind w:right="2880"/>
      <w:jc w:val="left"/>
    </w:pPr>
    <w:rPr>
      <w:sz w:val="24"/>
      <w:szCs w:val="28"/>
    </w:rPr>
  </w:style>
  <w:style w:type="paragraph" w:customStyle="1" w:styleId="a4">
    <w:name w:val="בולטראש"/>
    <w:basedOn w:val="a"/>
    <w:unhideWhenUsed/>
    <w:rsid w:val="003E0722"/>
    <w:pPr>
      <w:ind w:left="284" w:hanging="284"/>
    </w:pPr>
  </w:style>
  <w:style w:type="paragraph" w:customStyle="1" w:styleId="a5">
    <w:name w:val="פסקאצפוף"/>
    <w:basedOn w:val="a"/>
    <w:unhideWhenUsed/>
    <w:rsid w:val="003E0722"/>
    <w:pPr>
      <w:spacing w:after="0"/>
    </w:pPr>
  </w:style>
  <w:style w:type="paragraph" w:customStyle="1" w:styleId="21">
    <w:name w:val="בולט2"/>
    <w:basedOn w:val="a4"/>
    <w:unhideWhenUsed/>
    <w:rsid w:val="003E0722"/>
    <w:pPr>
      <w:spacing w:after="0"/>
      <w:ind w:left="567" w:hanging="567"/>
    </w:pPr>
  </w:style>
  <w:style w:type="paragraph" w:styleId="a6">
    <w:name w:val="envelope return"/>
    <w:basedOn w:val="a"/>
    <w:unhideWhenUsed/>
    <w:rsid w:val="003E0722"/>
    <w:rPr>
      <w:szCs w:val="20"/>
    </w:rPr>
  </w:style>
  <w:style w:type="paragraph" w:customStyle="1" w:styleId="a7">
    <w:name w:val="כניסהצפוף"/>
    <w:basedOn w:val="a"/>
    <w:next w:val="a"/>
    <w:unhideWhenUsed/>
    <w:rsid w:val="003E0722"/>
    <w:pPr>
      <w:spacing w:after="0"/>
      <w:ind w:left="794" w:firstLine="0"/>
    </w:pPr>
  </w:style>
  <w:style w:type="paragraph" w:styleId="a8">
    <w:name w:val="footnote text"/>
    <w:basedOn w:val="a"/>
    <w:link w:val="a9"/>
    <w:uiPriority w:val="99"/>
    <w:rsid w:val="00EA223D"/>
    <w:pPr>
      <w:spacing w:after="0" w:line="288" w:lineRule="auto"/>
      <w:ind w:left="284" w:hanging="284"/>
    </w:pPr>
    <w:rPr>
      <w:szCs w:val="18"/>
    </w:rPr>
  </w:style>
  <w:style w:type="character" w:customStyle="1" w:styleId="a9">
    <w:name w:val="טקסט הערת שוליים תו"/>
    <w:link w:val="a8"/>
    <w:uiPriority w:val="99"/>
    <w:locked/>
    <w:rsid w:val="00EA223D"/>
    <w:rPr>
      <w:rFonts w:cs="David"/>
      <w:color w:val="000000"/>
      <w:sz w:val="16"/>
      <w:szCs w:val="18"/>
      <w:lang w:eastAsia="he-IL"/>
    </w:rPr>
  </w:style>
  <w:style w:type="paragraph" w:customStyle="1" w:styleId="aa">
    <w:name w:val="הערהפיסקא"/>
    <w:basedOn w:val="a8"/>
    <w:unhideWhenUsed/>
    <w:rsid w:val="003E0722"/>
    <w:pPr>
      <w:ind w:firstLine="0"/>
    </w:pPr>
  </w:style>
  <w:style w:type="paragraph" w:customStyle="1" w:styleId="ab">
    <w:name w:val="ראשיפרקים"/>
    <w:basedOn w:val="a"/>
    <w:rsid w:val="00EA223D"/>
    <w:pPr>
      <w:spacing w:after="240"/>
      <w:ind w:firstLine="0"/>
      <w:jc w:val="center"/>
    </w:pPr>
    <w:rPr>
      <w:szCs w:val="18"/>
    </w:rPr>
  </w:style>
  <w:style w:type="character" w:styleId="ac">
    <w:name w:val="footnote reference"/>
    <w:uiPriority w:val="99"/>
    <w:semiHidden/>
    <w:rsid w:val="00EA223D"/>
    <w:rPr>
      <w:vertAlign w:val="superscript"/>
    </w:rPr>
  </w:style>
  <w:style w:type="paragraph" w:styleId="TOC1">
    <w:name w:val="toc 1"/>
    <w:basedOn w:val="a"/>
    <w:next w:val="a"/>
    <w:uiPriority w:val="39"/>
    <w:rsid w:val="00EA223D"/>
    <w:pPr>
      <w:ind w:firstLine="0"/>
      <w:jc w:val="left"/>
    </w:pPr>
    <w:rPr>
      <w:szCs w:val="18"/>
    </w:rPr>
  </w:style>
  <w:style w:type="paragraph" w:styleId="ad">
    <w:name w:val="header"/>
    <w:basedOn w:val="a"/>
    <w:link w:val="ae"/>
    <w:uiPriority w:val="99"/>
    <w:rsid w:val="00EA223D"/>
    <w:pPr>
      <w:spacing w:after="0"/>
      <w:ind w:firstLine="0"/>
      <w:jc w:val="center"/>
    </w:pPr>
    <w:rPr>
      <w:szCs w:val="18"/>
    </w:rPr>
  </w:style>
  <w:style w:type="character" w:styleId="af">
    <w:name w:val="page number"/>
    <w:unhideWhenUsed/>
    <w:rsid w:val="003E0722"/>
    <w:rPr>
      <w:rFonts w:ascii="Times New Roman" w:hAnsi="Times New Roman" w:cs="David"/>
      <w:color w:val="000000"/>
      <w:sz w:val="24"/>
      <w:szCs w:val="24"/>
    </w:rPr>
  </w:style>
  <w:style w:type="paragraph" w:styleId="af0">
    <w:name w:val="footer"/>
    <w:basedOn w:val="a"/>
    <w:link w:val="af1"/>
    <w:uiPriority w:val="99"/>
    <w:rsid w:val="00EA223D"/>
    <w:pPr>
      <w:tabs>
        <w:tab w:val="center" w:pos="4153"/>
        <w:tab w:val="right" w:pos="8306"/>
      </w:tabs>
    </w:pPr>
  </w:style>
  <w:style w:type="paragraph" w:styleId="TOC2">
    <w:name w:val="toc 2"/>
    <w:basedOn w:val="a"/>
    <w:next w:val="a"/>
    <w:uiPriority w:val="39"/>
    <w:rsid w:val="00EA223D"/>
    <w:pPr>
      <w:ind w:firstLine="0"/>
      <w:jc w:val="left"/>
    </w:pPr>
    <w:rPr>
      <w:szCs w:val="18"/>
    </w:rPr>
  </w:style>
  <w:style w:type="paragraph" w:styleId="TOC3">
    <w:name w:val="toc 3"/>
    <w:basedOn w:val="a"/>
    <w:next w:val="a"/>
    <w:uiPriority w:val="39"/>
    <w:rsid w:val="00EA223D"/>
    <w:pPr>
      <w:tabs>
        <w:tab w:val="clear" w:pos="284"/>
      </w:tabs>
      <w:spacing w:after="0"/>
      <w:ind w:firstLine="0"/>
      <w:jc w:val="left"/>
    </w:pPr>
    <w:rPr>
      <w:szCs w:val="18"/>
    </w:rPr>
  </w:style>
  <w:style w:type="paragraph" w:styleId="TOC4">
    <w:name w:val="toc 4"/>
    <w:basedOn w:val="a"/>
    <w:next w:val="a"/>
    <w:uiPriority w:val="39"/>
    <w:unhideWhenUsed/>
    <w:rsid w:val="003E0722"/>
    <w:pPr>
      <w:tabs>
        <w:tab w:val="clear" w:pos="284"/>
      </w:tabs>
      <w:spacing w:after="0"/>
      <w:ind w:firstLine="0"/>
      <w:jc w:val="left"/>
    </w:pPr>
    <w:rPr>
      <w:szCs w:val="18"/>
    </w:rPr>
  </w:style>
  <w:style w:type="paragraph" w:styleId="TOC5">
    <w:name w:val="toc 5"/>
    <w:basedOn w:val="a"/>
    <w:next w:val="a"/>
    <w:uiPriority w:val="39"/>
    <w:unhideWhenUsed/>
    <w:rsid w:val="003E0722"/>
    <w:pPr>
      <w:tabs>
        <w:tab w:val="clear" w:pos="284"/>
      </w:tabs>
      <w:spacing w:after="0"/>
      <w:ind w:firstLine="227"/>
      <w:jc w:val="left"/>
    </w:pPr>
    <w:rPr>
      <w:szCs w:val="18"/>
    </w:rPr>
  </w:style>
  <w:style w:type="character" w:customStyle="1" w:styleId="af2">
    <w:name w:val="תוכן"/>
    <w:rsid w:val="00EA223D"/>
    <w:rPr>
      <w:rFonts w:ascii="Times New Roman" w:hAnsi="Times New Roman" w:cs="David"/>
      <w:color w:val="0000FF"/>
      <w:sz w:val="16"/>
      <w:szCs w:val="18"/>
    </w:rPr>
  </w:style>
  <w:style w:type="paragraph" w:customStyle="1" w:styleId="af3">
    <w:name w:val="כניסהרווח"/>
    <w:basedOn w:val="a7"/>
    <w:rsid w:val="00EA223D"/>
    <w:pPr>
      <w:spacing w:after="80"/>
    </w:pPr>
  </w:style>
  <w:style w:type="paragraph" w:customStyle="1" w:styleId="normal">
    <w:name w:val="normalללא"/>
    <w:basedOn w:val="a"/>
    <w:unhideWhenUsed/>
    <w:rsid w:val="003E0722"/>
    <w:pPr>
      <w:ind w:firstLine="0"/>
    </w:pPr>
  </w:style>
  <w:style w:type="paragraph" w:customStyle="1" w:styleId="af4">
    <w:name w:val="צפוףללא"/>
    <w:basedOn w:val="normal"/>
    <w:unhideWhenUsed/>
    <w:rsid w:val="003E0722"/>
    <w:pPr>
      <w:spacing w:after="0"/>
    </w:pPr>
  </w:style>
  <w:style w:type="paragraph" w:styleId="TOC6">
    <w:name w:val="toc 6"/>
    <w:basedOn w:val="a"/>
    <w:next w:val="a"/>
    <w:autoRedefine/>
    <w:semiHidden/>
    <w:rsid w:val="00EA223D"/>
    <w:pPr>
      <w:tabs>
        <w:tab w:val="clear" w:pos="284"/>
      </w:tabs>
      <w:ind w:left="800"/>
    </w:pPr>
  </w:style>
  <w:style w:type="paragraph" w:styleId="TOC7">
    <w:name w:val="toc 7"/>
    <w:basedOn w:val="a"/>
    <w:next w:val="a"/>
    <w:autoRedefine/>
    <w:semiHidden/>
    <w:rsid w:val="00EA223D"/>
    <w:pPr>
      <w:tabs>
        <w:tab w:val="clear" w:pos="284"/>
      </w:tabs>
      <w:ind w:left="960"/>
    </w:pPr>
  </w:style>
  <w:style w:type="paragraph" w:styleId="TOC8">
    <w:name w:val="toc 8"/>
    <w:basedOn w:val="a"/>
    <w:next w:val="a"/>
    <w:autoRedefine/>
    <w:semiHidden/>
    <w:rsid w:val="00EA223D"/>
    <w:pPr>
      <w:tabs>
        <w:tab w:val="clear" w:pos="284"/>
      </w:tabs>
      <w:ind w:left="1120"/>
    </w:pPr>
  </w:style>
  <w:style w:type="paragraph" w:styleId="TOC9">
    <w:name w:val="toc 9"/>
    <w:basedOn w:val="a"/>
    <w:next w:val="a"/>
    <w:autoRedefine/>
    <w:semiHidden/>
    <w:rsid w:val="00EA223D"/>
    <w:pPr>
      <w:tabs>
        <w:tab w:val="clear" w:pos="284"/>
      </w:tabs>
      <w:ind w:left="1280"/>
    </w:pPr>
  </w:style>
  <w:style w:type="paragraph" w:customStyle="1" w:styleId="af5">
    <w:name w:val="צפוף"/>
    <w:basedOn w:val="a"/>
    <w:unhideWhenUsed/>
    <w:rsid w:val="003E0722"/>
    <w:pPr>
      <w:tabs>
        <w:tab w:val="clear" w:pos="284"/>
      </w:tabs>
      <w:spacing w:after="0" w:line="240" w:lineRule="auto"/>
      <w:ind w:firstLine="0"/>
    </w:pPr>
    <w:rPr>
      <w:sz w:val="22"/>
      <w:szCs w:val="24"/>
    </w:rPr>
  </w:style>
  <w:style w:type="paragraph" w:customStyle="1" w:styleId="-">
    <w:name w:val="רג-צפ"/>
    <w:basedOn w:val="a"/>
    <w:unhideWhenUsed/>
    <w:rsid w:val="003E0722"/>
    <w:pPr>
      <w:spacing w:after="0"/>
    </w:pPr>
  </w:style>
  <w:style w:type="paragraph" w:customStyle="1" w:styleId="-0">
    <w:name w:val="רג-ללא"/>
    <w:basedOn w:val="a"/>
    <w:unhideWhenUsed/>
    <w:rsid w:val="003E0722"/>
    <w:pPr>
      <w:ind w:firstLine="0"/>
    </w:pPr>
  </w:style>
  <w:style w:type="paragraph" w:customStyle="1" w:styleId="11">
    <w:name w:val="פיסקת רשימה1"/>
    <w:basedOn w:val="a"/>
    <w:unhideWhenUsed/>
    <w:rsid w:val="003E0722"/>
    <w:pPr>
      <w:tabs>
        <w:tab w:val="clear" w:pos="284"/>
      </w:tabs>
      <w:spacing w:after="0" w:line="276" w:lineRule="auto"/>
      <w:ind w:left="720" w:firstLine="0"/>
      <w:contextualSpacing/>
    </w:pPr>
    <w:rPr>
      <w:rFonts w:ascii="Calibri" w:hAnsi="Calibri" w:cs="Arial"/>
      <w:sz w:val="22"/>
      <w:szCs w:val="22"/>
    </w:rPr>
  </w:style>
  <w:style w:type="character" w:styleId="Hyperlink">
    <w:name w:val="Hyperlink"/>
    <w:uiPriority w:val="99"/>
    <w:rsid w:val="00EA223D"/>
    <w:rPr>
      <w:rFonts w:cs="Times New Roman"/>
      <w:color w:val="0000FF"/>
      <w:u w:val="single"/>
    </w:rPr>
  </w:style>
  <w:style w:type="paragraph" w:styleId="NormalWeb">
    <w:name w:val="Normal (Web)"/>
    <w:basedOn w:val="a"/>
    <w:semiHidden/>
    <w:rsid w:val="00EA223D"/>
    <w:pPr>
      <w:tabs>
        <w:tab w:val="clear" w:pos="284"/>
      </w:tabs>
      <w:bidi w:val="0"/>
      <w:spacing w:before="100" w:beforeAutospacing="1" w:after="100" w:afterAutospacing="1" w:line="240" w:lineRule="auto"/>
      <w:ind w:firstLine="0"/>
      <w:jc w:val="left"/>
    </w:pPr>
    <w:rPr>
      <w:rFonts w:eastAsia="Calibri" w:cs="Times New Roman"/>
      <w:sz w:val="24"/>
      <w:szCs w:val="24"/>
    </w:rPr>
  </w:style>
  <w:style w:type="paragraph" w:styleId="af6">
    <w:name w:val="annotation text"/>
    <w:basedOn w:val="a"/>
    <w:link w:val="af7"/>
    <w:uiPriority w:val="99"/>
    <w:rsid w:val="00EA223D"/>
    <w:pPr>
      <w:tabs>
        <w:tab w:val="clear" w:pos="284"/>
      </w:tabs>
      <w:spacing w:after="0" w:line="240" w:lineRule="auto"/>
      <w:ind w:firstLine="0"/>
    </w:pPr>
    <w:rPr>
      <w:rFonts w:ascii="Calibri" w:hAnsi="Calibri" w:cs="Arial"/>
      <w:szCs w:val="20"/>
    </w:rPr>
  </w:style>
  <w:style w:type="character" w:customStyle="1" w:styleId="af7">
    <w:name w:val="טקסט הערה תו"/>
    <w:link w:val="af6"/>
    <w:uiPriority w:val="99"/>
    <w:locked/>
    <w:rsid w:val="00EA223D"/>
    <w:rPr>
      <w:rFonts w:ascii="Calibri" w:hAnsi="Calibri" w:cs="Arial"/>
    </w:rPr>
  </w:style>
  <w:style w:type="paragraph" w:styleId="af8">
    <w:name w:val="annotation subject"/>
    <w:basedOn w:val="af6"/>
    <w:next w:val="af6"/>
    <w:link w:val="af9"/>
    <w:uiPriority w:val="99"/>
    <w:semiHidden/>
    <w:rsid w:val="00EA223D"/>
    <w:rPr>
      <w:b/>
      <w:bCs/>
    </w:rPr>
  </w:style>
  <w:style w:type="character" w:customStyle="1" w:styleId="af9">
    <w:name w:val="נושא הערה תו"/>
    <w:link w:val="af8"/>
    <w:uiPriority w:val="99"/>
    <w:semiHidden/>
    <w:locked/>
    <w:rsid w:val="00EA223D"/>
    <w:rPr>
      <w:rFonts w:ascii="Calibri" w:hAnsi="Calibri" w:cs="Arial"/>
      <w:b/>
      <w:bCs/>
    </w:rPr>
  </w:style>
  <w:style w:type="paragraph" w:styleId="afa">
    <w:name w:val="Balloon Text"/>
    <w:basedOn w:val="a"/>
    <w:link w:val="afb"/>
    <w:semiHidden/>
    <w:rsid w:val="00EA223D"/>
    <w:pPr>
      <w:tabs>
        <w:tab w:val="clear" w:pos="284"/>
      </w:tabs>
      <w:spacing w:after="0" w:line="240" w:lineRule="auto"/>
      <w:ind w:firstLine="0"/>
    </w:pPr>
    <w:rPr>
      <w:rFonts w:ascii="Tahoma" w:hAnsi="Tahoma" w:cs="Tahoma"/>
      <w:szCs w:val="16"/>
    </w:rPr>
  </w:style>
  <w:style w:type="character" w:customStyle="1" w:styleId="afb">
    <w:name w:val="טקסט בלונים תו"/>
    <w:link w:val="afa"/>
    <w:semiHidden/>
    <w:locked/>
    <w:rsid w:val="00EA223D"/>
    <w:rPr>
      <w:rFonts w:ascii="Tahoma" w:hAnsi="Tahoma" w:cs="Tahoma"/>
      <w:sz w:val="16"/>
      <w:szCs w:val="16"/>
    </w:rPr>
  </w:style>
  <w:style w:type="paragraph" w:customStyle="1" w:styleId="afc">
    <w:name w:val="הערות שולים תחומין"/>
    <w:basedOn w:val="a8"/>
    <w:unhideWhenUsed/>
    <w:rsid w:val="003E0722"/>
    <w:rPr>
      <w:sz w:val="18"/>
    </w:rPr>
  </w:style>
  <w:style w:type="paragraph" w:customStyle="1" w:styleId="afd">
    <w:name w:val="הערות שוליים תחומין"/>
    <w:basedOn w:val="a8"/>
    <w:uiPriority w:val="99"/>
    <w:unhideWhenUsed/>
    <w:rsid w:val="00A16CE3"/>
    <w:rPr>
      <w:sz w:val="18"/>
    </w:rPr>
  </w:style>
  <w:style w:type="paragraph" w:customStyle="1" w:styleId="-1">
    <w:name w:val="הע-שולים תחומ"/>
    <w:basedOn w:val="a8"/>
    <w:unhideWhenUsed/>
    <w:rsid w:val="003E0722"/>
    <w:rPr>
      <w:sz w:val="18"/>
    </w:rPr>
  </w:style>
  <w:style w:type="character" w:customStyle="1" w:styleId="ae">
    <w:name w:val="כותרת עליונה תו"/>
    <w:link w:val="ad"/>
    <w:uiPriority w:val="99"/>
    <w:rsid w:val="00EA223D"/>
    <w:rPr>
      <w:rFonts w:cs="David"/>
      <w:color w:val="000000"/>
      <w:sz w:val="16"/>
      <w:szCs w:val="18"/>
      <w:lang w:eastAsia="he-IL"/>
    </w:rPr>
  </w:style>
  <w:style w:type="character" w:customStyle="1" w:styleId="af1">
    <w:name w:val="כותרת תחתונה תו"/>
    <w:link w:val="af0"/>
    <w:uiPriority w:val="99"/>
    <w:rsid w:val="00EA223D"/>
    <w:rPr>
      <w:rFonts w:cs="David"/>
      <w:color w:val="000000"/>
      <w:sz w:val="16"/>
      <w:szCs w:val="23"/>
      <w:lang w:eastAsia="he-IL"/>
    </w:rPr>
  </w:style>
  <w:style w:type="paragraph" w:customStyle="1" w:styleId="-2">
    <w:name w:val="הערות-תחומ"/>
    <w:basedOn w:val="afd"/>
    <w:link w:val="-3"/>
    <w:unhideWhenUsed/>
    <w:rsid w:val="003E0722"/>
    <w:rPr>
      <w:color w:val="000000"/>
      <w:lang w:eastAsia="he-IL"/>
    </w:rPr>
  </w:style>
  <w:style w:type="character" w:customStyle="1" w:styleId="-3">
    <w:name w:val="הערות-תחומ תו"/>
    <w:link w:val="-2"/>
    <w:rsid w:val="003E0722"/>
    <w:rPr>
      <w:color w:val="000000"/>
      <w:sz w:val="18"/>
      <w:szCs w:val="18"/>
      <w:lang w:eastAsia="he-IL"/>
    </w:rPr>
  </w:style>
  <w:style w:type="paragraph" w:customStyle="1" w:styleId="afe">
    <w:name w:val="כנס+"/>
    <w:basedOn w:val="af3"/>
    <w:link w:val="aff"/>
    <w:uiPriority w:val="99"/>
    <w:qFormat/>
    <w:rsid w:val="00FC7354"/>
  </w:style>
  <w:style w:type="character" w:customStyle="1" w:styleId="aff">
    <w:name w:val="כנס+ תו"/>
    <w:link w:val="afe"/>
    <w:uiPriority w:val="99"/>
    <w:rsid w:val="00FC7354"/>
    <w:rPr>
      <w:szCs w:val="23"/>
    </w:rPr>
  </w:style>
  <w:style w:type="paragraph" w:customStyle="1" w:styleId="-4">
    <w:name w:val="כנס-"/>
    <w:basedOn w:val="a7"/>
    <w:link w:val="-5"/>
    <w:unhideWhenUsed/>
    <w:qFormat/>
    <w:rsid w:val="003E0722"/>
  </w:style>
  <w:style w:type="character" w:customStyle="1" w:styleId="-5">
    <w:name w:val="כנס- תו"/>
    <w:link w:val="-4"/>
    <w:rsid w:val="003E0722"/>
    <w:rPr>
      <w:szCs w:val="23"/>
    </w:rPr>
  </w:style>
  <w:style w:type="paragraph" w:customStyle="1" w:styleId="aff0">
    <w:name w:val="תלוי"/>
    <w:basedOn w:val="a4"/>
    <w:link w:val="aff1"/>
    <w:unhideWhenUsed/>
    <w:rsid w:val="003E0722"/>
  </w:style>
  <w:style w:type="character" w:customStyle="1" w:styleId="aff1">
    <w:name w:val="תלוי תו"/>
    <w:link w:val="aff0"/>
    <w:rsid w:val="003E0722"/>
    <w:rPr>
      <w:szCs w:val="23"/>
    </w:rPr>
  </w:style>
  <w:style w:type="paragraph" w:customStyle="1" w:styleId="-6">
    <w:name w:val="רגיל-ללא"/>
    <w:basedOn w:val="-0"/>
    <w:link w:val="-7"/>
    <w:unhideWhenUsed/>
    <w:qFormat/>
    <w:rsid w:val="00CF7C68"/>
  </w:style>
  <w:style w:type="character" w:customStyle="1" w:styleId="-7">
    <w:name w:val="רגיל-ללא תו"/>
    <w:link w:val="-6"/>
    <w:rsid w:val="00CF7C68"/>
    <w:rPr>
      <w:sz w:val="24"/>
      <w:szCs w:val="22"/>
      <w:lang w:eastAsia="he-IL"/>
    </w:rPr>
  </w:style>
  <w:style w:type="paragraph" w:styleId="aff2">
    <w:name w:val="Quote"/>
    <w:basedOn w:val="a"/>
    <w:link w:val="aff3"/>
    <w:autoRedefine/>
    <w:unhideWhenUsed/>
    <w:rsid w:val="003E0722"/>
    <w:pPr>
      <w:tabs>
        <w:tab w:val="clear" w:pos="284"/>
      </w:tabs>
      <w:autoSpaceDE w:val="0"/>
      <w:autoSpaceDN w:val="0"/>
      <w:adjustRightInd w:val="0"/>
      <w:spacing w:after="0" w:line="360" w:lineRule="auto"/>
      <w:ind w:left="737" w:right="737" w:firstLine="0"/>
    </w:pPr>
    <w:rPr>
      <w:color w:val="000000"/>
      <w:sz w:val="32"/>
      <w:szCs w:val="24"/>
    </w:rPr>
  </w:style>
  <w:style w:type="character" w:customStyle="1" w:styleId="aff3">
    <w:name w:val="ציטוט תו"/>
    <w:link w:val="aff2"/>
    <w:rsid w:val="003E0722"/>
    <w:rPr>
      <w:color w:val="000000"/>
      <w:sz w:val="32"/>
      <w:szCs w:val="24"/>
    </w:rPr>
  </w:style>
  <w:style w:type="paragraph" w:customStyle="1" w:styleId="-8">
    <w:name w:val="הערות -תחומ"/>
    <w:basedOn w:val="afd"/>
    <w:link w:val="-9"/>
    <w:uiPriority w:val="99"/>
    <w:qFormat/>
    <w:rsid w:val="00FC7354"/>
    <w:rPr>
      <w:color w:val="000000"/>
      <w:lang w:eastAsia="he-IL"/>
    </w:rPr>
  </w:style>
  <w:style w:type="character" w:customStyle="1" w:styleId="-9">
    <w:name w:val="הערות -תחומ תו"/>
    <w:link w:val="-8"/>
    <w:uiPriority w:val="99"/>
    <w:rsid w:val="00FC7354"/>
    <w:rPr>
      <w:color w:val="000000"/>
      <w:sz w:val="18"/>
      <w:szCs w:val="18"/>
      <w:lang w:eastAsia="he-IL"/>
    </w:rPr>
  </w:style>
  <w:style w:type="paragraph" w:customStyle="1" w:styleId="7">
    <w:name w:val="7תלוי"/>
    <w:basedOn w:val="a4"/>
    <w:link w:val="70"/>
    <w:uiPriority w:val="99"/>
    <w:qFormat/>
    <w:rsid w:val="008C6FC1"/>
  </w:style>
  <w:style w:type="character" w:customStyle="1" w:styleId="70">
    <w:name w:val="7תלוי תו"/>
    <w:link w:val="7"/>
    <w:uiPriority w:val="99"/>
    <w:rsid w:val="008C6FC1"/>
    <w:rPr>
      <w:szCs w:val="23"/>
    </w:rPr>
  </w:style>
  <w:style w:type="paragraph" w:customStyle="1" w:styleId="-a">
    <w:name w:val="רגיל-צפ"/>
    <w:basedOn w:val="a5"/>
    <w:link w:val="-b"/>
    <w:qFormat/>
    <w:rsid w:val="00833EE2"/>
    <w:rPr>
      <w:shd w:val="clear" w:color="auto" w:fill="FFFFFF"/>
    </w:rPr>
  </w:style>
  <w:style w:type="character" w:customStyle="1" w:styleId="-b">
    <w:name w:val="רגיל-צפ תו"/>
    <w:basedOn w:val="a0"/>
    <w:link w:val="-a"/>
    <w:rsid w:val="00833EE2"/>
    <w:rPr>
      <w:szCs w:val="23"/>
    </w:rPr>
  </w:style>
  <w:style w:type="paragraph" w:styleId="aff4">
    <w:name w:val="TOC Heading"/>
    <w:basedOn w:val="1"/>
    <w:next w:val="a"/>
    <w:uiPriority w:val="39"/>
    <w:unhideWhenUsed/>
    <w:qFormat/>
    <w:rsid w:val="00142D7C"/>
    <w:pPr>
      <w:keepLines/>
      <w:pageBreakBefore w:val="0"/>
      <w:spacing w:before="240" w:after="0"/>
      <w:ind w:firstLine="284"/>
      <w:jc w:val="both"/>
      <w:outlineLvl w:val="9"/>
    </w:pPr>
    <w:rPr>
      <w:rFonts w:asciiTheme="majorHAnsi" w:eastAsiaTheme="majorEastAsia" w:hAnsiTheme="majorHAnsi" w:cstheme="majorBidi"/>
      <w:color w:val="365F91" w:themeColor="accent1" w:themeShade="BF"/>
      <w:spacing w:val="0"/>
      <w:sz w:val="32"/>
      <w:szCs w:val="32"/>
    </w:rPr>
  </w:style>
  <w:style w:type="paragraph" w:styleId="aff5">
    <w:name w:val="List Paragraph"/>
    <w:basedOn w:val="a"/>
    <w:uiPriority w:val="34"/>
    <w:qFormat/>
    <w:rsid w:val="00142D7C"/>
    <w:pPr>
      <w:tabs>
        <w:tab w:val="clear" w:pos="284"/>
      </w:tabs>
      <w:spacing w:after="160" w:line="259" w:lineRule="auto"/>
      <w:ind w:left="720" w:firstLine="0"/>
      <w:contextualSpacing/>
      <w:jc w:val="left"/>
    </w:pPr>
    <w:rPr>
      <w:rFonts w:asciiTheme="minorHAnsi" w:eastAsiaTheme="minorHAnsi" w:hAnsiTheme="minorHAnsi" w:cstheme="minorBidi"/>
      <w:sz w:val="22"/>
      <w:szCs w:val="22"/>
    </w:rPr>
  </w:style>
  <w:style w:type="character" w:styleId="aff6">
    <w:name w:val="annotation reference"/>
    <w:basedOn w:val="a0"/>
    <w:uiPriority w:val="99"/>
    <w:semiHidden/>
    <w:unhideWhenUsed/>
    <w:rsid w:val="00140EB0"/>
    <w:rPr>
      <w:sz w:val="16"/>
      <w:szCs w:val="16"/>
    </w:rPr>
  </w:style>
  <w:style w:type="character" w:customStyle="1" w:styleId="20">
    <w:name w:val="כותרת 2 תו"/>
    <w:aliases w:val="2מאמר תו"/>
    <w:basedOn w:val="a0"/>
    <w:link w:val="2"/>
    <w:uiPriority w:val="9"/>
    <w:rsid w:val="00140EB0"/>
    <w:rPr>
      <w:b/>
      <w:bCs/>
      <w:sz w:val="26"/>
      <w:szCs w:val="28"/>
    </w:rPr>
  </w:style>
  <w:style w:type="paragraph" w:styleId="aff7">
    <w:name w:val="Revision"/>
    <w:hidden/>
    <w:uiPriority w:val="99"/>
    <w:semiHidden/>
    <w:rsid w:val="00140EB0"/>
    <w:rPr>
      <w:rFonts w:asciiTheme="minorHAnsi" w:eastAsiaTheme="minorHAnsi" w:hAnsiTheme="minorHAnsi"/>
      <w:sz w:val="22"/>
      <w:szCs w:val="24"/>
    </w:rPr>
  </w:style>
  <w:style w:type="character" w:customStyle="1" w:styleId="10">
    <w:name w:val="כותרת 1 תו"/>
    <w:aliases w:val="1מחבר תו"/>
    <w:basedOn w:val="a0"/>
    <w:link w:val="1"/>
    <w:uiPriority w:val="9"/>
    <w:rsid w:val="00140EB0"/>
    <w:rPr>
      <w:spacing w:val="22"/>
      <w:szCs w:val="24"/>
    </w:rPr>
  </w:style>
  <w:style w:type="paragraph" w:customStyle="1" w:styleId="p00">
    <w:name w:val="p00"/>
    <w:basedOn w:val="a"/>
    <w:rsid w:val="00140EB0"/>
    <w:pPr>
      <w:tabs>
        <w:tab w:val="clear" w:pos="284"/>
      </w:tabs>
      <w:bidi w:val="0"/>
      <w:spacing w:before="100" w:beforeAutospacing="1" w:after="100" w:afterAutospacing="1" w:line="240" w:lineRule="auto"/>
      <w:ind w:firstLine="0"/>
      <w:jc w:val="left"/>
    </w:pPr>
    <w:rPr>
      <w:rFonts w:cs="Times New Roman"/>
      <w:sz w:val="24"/>
      <w:szCs w:val="24"/>
    </w:rPr>
  </w:style>
  <w:style w:type="character" w:customStyle="1" w:styleId="big-number">
    <w:name w:val="big-number"/>
    <w:basedOn w:val="a0"/>
    <w:rsid w:val="00140EB0"/>
  </w:style>
  <w:style w:type="character" w:customStyle="1" w:styleId="default">
    <w:name w:val="default"/>
    <w:basedOn w:val="a0"/>
    <w:rsid w:val="00140EB0"/>
  </w:style>
  <w:style w:type="paragraph" w:customStyle="1" w:styleId="p22">
    <w:name w:val="p22"/>
    <w:basedOn w:val="a"/>
    <w:rsid w:val="00140EB0"/>
    <w:pPr>
      <w:tabs>
        <w:tab w:val="clear" w:pos="284"/>
      </w:tabs>
      <w:bidi w:val="0"/>
      <w:spacing w:before="100" w:beforeAutospacing="1" w:after="100" w:afterAutospacing="1" w:line="240" w:lineRule="auto"/>
      <w:ind w:firstLine="0"/>
      <w:jc w:val="left"/>
    </w:pPr>
    <w:rPr>
      <w:rFonts w:cs="Times New Roman"/>
      <w:sz w:val="24"/>
      <w:szCs w:val="24"/>
    </w:rPr>
  </w:style>
  <w:style w:type="character" w:customStyle="1" w:styleId="30">
    <w:name w:val="כותרת 3 תו"/>
    <w:aliases w:val="הערות תו"/>
    <w:basedOn w:val="a0"/>
    <w:link w:val="3"/>
    <w:uiPriority w:val="9"/>
    <w:rsid w:val="00140EB0"/>
    <w:rPr>
      <w:b/>
      <w:bCs/>
      <w:sz w:val="24"/>
      <w:szCs w:val="26"/>
    </w:rPr>
  </w:style>
  <w:style w:type="character" w:customStyle="1" w:styleId="40">
    <w:name w:val="כותרת 4 תו"/>
    <w:aliases w:val="4פרק תו"/>
    <w:basedOn w:val="a0"/>
    <w:link w:val="4"/>
    <w:uiPriority w:val="9"/>
    <w:rsid w:val="00140EB0"/>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Dropbox\&#1514;&#1495;&#1493;&#1502;&#1497;&#1503;\&#1514;&#1489;&#1504;&#1497;&#1514;%20&#1514;&#1495;&#1493;&#1502;&#1497;&#1503;%20&#1502;&#149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E86E6-5206-4884-AB3D-5D1811614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תחומין מד</Template>
  <TotalTime>8</TotalTime>
  <Pages>11</Pages>
  <Words>3980</Words>
  <Characters>19903</Characters>
  <Application>Microsoft Office Word</Application>
  <DocSecurity>0</DocSecurity>
  <Lines>165</Lines>
  <Paragraphs>47</Paragraphs>
  <ScaleCrop>false</ScaleCrop>
  <HeadingPairs>
    <vt:vector size="2" baseType="variant">
      <vt:variant>
        <vt:lpstr>שם</vt:lpstr>
      </vt:variant>
      <vt:variant>
        <vt:i4>1</vt:i4>
      </vt:variant>
    </vt:vector>
  </HeadingPairs>
  <TitlesOfParts>
    <vt:vector size="1" baseType="lpstr">
      <vt:lpstr>תחומין</vt:lpstr>
    </vt:vector>
  </TitlesOfParts>
  <Company>IBM ThinkPad 380</Company>
  <LinksUpToDate>false</LinksUpToDate>
  <CharactersWithSpaces>23836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תחומין</dc:title>
  <dc:creator>בעז אופן</dc:creator>
  <cp:lastModifiedBy>בועז</cp:lastModifiedBy>
  <cp:revision>6</cp:revision>
  <cp:lastPrinted>2013-10-06T09:24:00Z</cp:lastPrinted>
  <dcterms:created xsi:type="dcterms:W3CDTF">2024-06-04T07:59:00Z</dcterms:created>
  <dcterms:modified xsi:type="dcterms:W3CDTF">2024-06-04T08:16:00Z</dcterms:modified>
</cp:coreProperties>
</file>